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9C62" w14:textId="7A21C05B" w:rsidR="00A07ECC" w:rsidRDefault="00BE4EBF">
      <w:pPr>
        <w:spacing w:line="217" w:lineRule="exact"/>
        <w:ind w:left="277"/>
        <w:rPr>
          <w:sz w:val="18"/>
        </w:rPr>
      </w:pPr>
      <w:r>
        <w:rPr>
          <w:sz w:val="18"/>
        </w:rPr>
        <w:t>ISSN</w:t>
      </w:r>
      <w:r>
        <w:rPr>
          <w:spacing w:val="-2"/>
          <w:sz w:val="18"/>
        </w:rPr>
        <w:t xml:space="preserve"> </w:t>
      </w:r>
    </w:p>
    <w:p w14:paraId="58D81D76" w14:textId="05CBE520" w:rsidR="00A07ECC" w:rsidRDefault="00A227C1">
      <w:pPr>
        <w:spacing w:before="1"/>
        <w:ind w:left="277" w:right="7651"/>
        <w:rPr>
          <w:sz w:val="18"/>
        </w:rPr>
      </w:pPr>
      <w:hyperlink r:id="rId8">
        <w:r w:rsidR="00BE4EBF">
          <w:rPr>
            <w:spacing w:val="-1"/>
            <w:sz w:val="18"/>
          </w:rPr>
          <w:t>http://unpas.id/index.php/ijsam</w:t>
        </w:r>
      </w:hyperlink>
      <w:r w:rsidR="00BE4EBF">
        <w:rPr>
          <w:spacing w:val="-37"/>
          <w:sz w:val="18"/>
        </w:rPr>
        <w:t xml:space="preserve"> </w:t>
      </w:r>
      <w:r w:rsidR="00BE4EBF">
        <w:rPr>
          <w:sz w:val="18"/>
        </w:rPr>
        <w:t>DOI:</w:t>
      </w:r>
      <w:r w:rsidR="00BE4EBF">
        <w:rPr>
          <w:spacing w:val="-2"/>
          <w:sz w:val="18"/>
        </w:rPr>
        <w:t xml:space="preserve"> </w:t>
      </w:r>
    </w:p>
    <w:p w14:paraId="75EF2B1B" w14:textId="77777777" w:rsidR="00A07ECC" w:rsidRDefault="00A07ECC">
      <w:pPr>
        <w:pStyle w:val="BodyText"/>
        <w:rPr>
          <w:sz w:val="20"/>
        </w:rPr>
      </w:pPr>
    </w:p>
    <w:p w14:paraId="73559295" w14:textId="77777777" w:rsidR="00A07ECC" w:rsidRDefault="00A07ECC">
      <w:pPr>
        <w:pStyle w:val="BodyText"/>
        <w:rPr>
          <w:sz w:val="20"/>
        </w:rPr>
      </w:pPr>
    </w:p>
    <w:p w14:paraId="34E54DFF" w14:textId="77777777" w:rsidR="00A07ECC" w:rsidRDefault="00A227C1">
      <w:pPr>
        <w:pStyle w:val="BodyText"/>
        <w:spacing w:before="9"/>
        <w:rPr>
          <w:sz w:val="10"/>
        </w:rPr>
      </w:pPr>
      <w:r>
        <w:pict w14:anchorId="2A8D2D97">
          <v:rect id="_x0000_s1030" alt="" style="position:absolute;margin-left:166.95pt;margin-top:8.55pt;width:389.95pt;height:1.45pt;z-index:-15728640;mso-wrap-edited:f;mso-width-percent:0;mso-height-percent:0;mso-wrap-distance-left:0;mso-wrap-distance-right:0;mso-position-horizontal-relative:page;mso-width-percent:0;mso-height-percent:0" fillcolor="black" stroked="f">
            <w10:wrap type="topAndBottom" anchorx="page"/>
          </v:rect>
        </w:pict>
      </w:r>
    </w:p>
    <w:p w14:paraId="5BEE10D1" w14:textId="0585793C" w:rsidR="00A07ECC" w:rsidRDefault="00553CFB">
      <w:pPr>
        <w:pStyle w:val="Heading1"/>
        <w:spacing w:before="52" w:after="76" w:line="242" w:lineRule="auto"/>
        <w:ind w:left="2687" w:right="762"/>
      </w:pPr>
      <w:r>
        <w:rPr>
          <w:color w:val="00AF50"/>
        </w:rPr>
        <w:t xml:space="preserve">Corporate Social Disclosure and </w:t>
      </w:r>
      <w:r w:rsidR="00795E25">
        <w:rPr>
          <w:color w:val="00AF50"/>
        </w:rPr>
        <w:t xml:space="preserve">Corporate </w:t>
      </w:r>
      <w:r>
        <w:rPr>
          <w:color w:val="00AF50"/>
        </w:rPr>
        <w:t>Reputation: Banking Sector</w:t>
      </w:r>
    </w:p>
    <w:p w14:paraId="57081251" w14:textId="77777777" w:rsidR="00A07ECC" w:rsidRDefault="00A227C1">
      <w:pPr>
        <w:pStyle w:val="BodyText"/>
        <w:spacing w:line="28" w:lineRule="exact"/>
        <w:ind w:left="2658"/>
        <w:rPr>
          <w:sz w:val="2"/>
        </w:rPr>
      </w:pPr>
      <w:r>
        <w:rPr>
          <w:sz w:val="2"/>
        </w:rPr>
      </w:r>
      <w:r>
        <w:rPr>
          <w:sz w:val="2"/>
        </w:rPr>
        <w:pict w14:anchorId="6CB49953">
          <v:group id="_x0000_s1028" alt="" style="width:389.95pt;height:1.45pt;mso-position-horizontal-relative:char;mso-position-vertical-relative:line" coordsize="7799,29">
            <v:rect id="_x0000_s1029" alt="" style="position:absolute;width:7799;height:29" fillcolor="black" stroked="f"/>
            <w10:anchorlock/>
          </v:group>
        </w:pict>
      </w:r>
    </w:p>
    <w:p w14:paraId="6BB398F2" w14:textId="3E182F5D" w:rsidR="00A07ECC" w:rsidRDefault="00A07ECC">
      <w:pPr>
        <w:pStyle w:val="BodyText"/>
        <w:spacing w:before="6"/>
        <w:rPr>
          <w:b/>
          <w:sz w:val="14"/>
        </w:rPr>
      </w:pPr>
    </w:p>
    <w:p w14:paraId="594C939C" w14:textId="1B873040" w:rsidR="00A07ECC" w:rsidRPr="00E45F32" w:rsidRDefault="00E45F32" w:rsidP="00E45F32">
      <w:pPr>
        <w:tabs>
          <w:tab w:val="left" w:pos="4678"/>
          <w:tab w:val="left" w:pos="4820"/>
          <w:tab w:val="left" w:pos="6804"/>
          <w:tab w:val="left" w:pos="6946"/>
        </w:tabs>
        <w:spacing w:before="68"/>
        <w:ind w:left="2687" w:right="1423"/>
        <w:rPr>
          <w:b/>
          <w:sz w:val="24"/>
        </w:rPr>
      </w:pPr>
      <w:r w:rsidRPr="00E45F32">
        <w:rPr>
          <w:noProof/>
          <w:sz w:val="20"/>
          <w:szCs w:val="20"/>
        </w:rPr>
        <w:drawing>
          <wp:anchor distT="0" distB="0" distL="0" distR="0" simplePos="0" relativeHeight="487591424" behindDoc="1" locked="0" layoutInCell="1" allowOverlap="1" wp14:anchorId="1B30513B" wp14:editId="0F2C6038">
            <wp:simplePos x="0" y="0"/>
            <wp:positionH relativeFrom="page">
              <wp:posOffset>5941364</wp:posOffset>
            </wp:positionH>
            <wp:positionV relativeFrom="paragraph">
              <wp:posOffset>86360</wp:posOffset>
            </wp:positionV>
            <wp:extent cx="107950" cy="107950"/>
            <wp:effectExtent l="0" t="0" r="6350" b="6350"/>
            <wp:wrapNone/>
            <wp:docPr id="2" name="image1.png" descr="F:\E\ME\JOURNAL\ijcgsr.org\ORCI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07950" cy="107950"/>
                    </a:xfrm>
                    <a:prstGeom prst="rect">
                      <a:avLst/>
                    </a:prstGeom>
                  </pic:spPr>
                </pic:pic>
              </a:graphicData>
            </a:graphic>
          </wp:anchor>
        </w:drawing>
      </w:r>
      <w:r w:rsidRPr="00E45F32">
        <w:rPr>
          <w:noProof/>
          <w:sz w:val="20"/>
          <w:szCs w:val="20"/>
        </w:rPr>
        <w:drawing>
          <wp:anchor distT="0" distB="0" distL="0" distR="0" simplePos="0" relativeHeight="251660800" behindDoc="1" locked="0" layoutInCell="1" allowOverlap="1" wp14:anchorId="2D186E8E" wp14:editId="281C6BCA">
            <wp:simplePos x="0" y="0"/>
            <wp:positionH relativeFrom="page">
              <wp:posOffset>4593921</wp:posOffset>
            </wp:positionH>
            <wp:positionV relativeFrom="paragraph">
              <wp:posOffset>73660</wp:posOffset>
            </wp:positionV>
            <wp:extent cx="107950" cy="107950"/>
            <wp:effectExtent l="0" t="0" r="6350" b="6350"/>
            <wp:wrapNone/>
            <wp:docPr id="3" name="image1.png" descr="F:\E\ME\JOURNAL\ijcgsr.org\ORCI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07950" cy="107950"/>
                    </a:xfrm>
                    <a:prstGeom prst="rect">
                      <a:avLst/>
                    </a:prstGeom>
                  </pic:spPr>
                </pic:pic>
              </a:graphicData>
            </a:graphic>
          </wp:anchor>
        </w:drawing>
      </w:r>
      <w:r w:rsidRPr="00E45F32">
        <w:rPr>
          <w:noProof/>
          <w:sz w:val="20"/>
          <w:szCs w:val="20"/>
        </w:rPr>
        <w:drawing>
          <wp:anchor distT="0" distB="0" distL="0" distR="0" simplePos="0" relativeHeight="251654656" behindDoc="1" locked="0" layoutInCell="1" allowOverlap="1" wp14:anchorId="676AE595" wp14:editId="1D9B0155">
            <wp:simplePos x="0" y="0"/>
            <wp:positionH relativeFrom="page">
              <wp:posOffset>3273121</wp:posOffset>
            </wp:positionH>
            <wp:positionV relativeFrom="paragraph">
              <wp:posOffset>73660</wp:posOffset>
            </wp:positionV>
            <wp:extent cx="107950" cy="107950"/>
            <wp:effectExtent l="0" t="0" r="6350" b="6350"/>
            <wp:wrapNone/>
            <wp:docPr id="1" name="image1.png" descr="F:\E\ME\JOURNAL\ijcgsr.org\ORCI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7950" cy="107950"/>
                    </a:xfrm>
                    <a:prstGeom prst="rect">
                      <a:avLst/>
                    </a:prstGeom>
                  </pic:spPr>
                </pic:pic>
              </a:graphicData>
            </a:graphic>
          </wp:anchor>
        </w:drawing>
      </w:r>
      <w:proofErr w:type="spellStart"/>
      <w:r>
        <w:rPr>
          <w:b/>
          <w:sz w:val="24"/>
        </w:rPr>
        <w:t>Andika</w:t>
      </w:r>
      <w:proofErr w:type="spellEnd"/>
      <w:r>
        <w:rPr>
          <w:b/>
          <w:sz w:val="24"/>
        </w:rPr>
        <w:t xml:space="preserve"> Pramukti</w:t>
      </w:r>
      <w:r>
        <w:rPr>
          <w:b/>
          <w:sz w:val="24"/>
          <w:vertAlign w:val="superscript"/>
        </w:rPr>
        <w:t>1</w:t>
      </w:r>
      <w:r w:rsidR="00AA144E">
        <w:rPr>
          <w:b/>
          <w:sz w:val="24"/>
          <w:vertAlign w:val="superscript"/>
        </w:rPr>
        <w:t>*</w:t>
      </w:r>
      <w:r w:rsidR="00BE4EBF">
        <w:rPr>
          <w:b/>
          <w:sz w:val="24"/>
        </w:rPr>
        <w:tab/>
        <w:t>|</w:t>
      </w:r>
      <w:r w:rsidR="00BE4EBF">
        <w:rPr>
          <w:b/>
          <w:spacing w:val="-2"/>
          <w:sz w:val="24"/>
        </w:rPr>
        <w:t xml:space="preserve"> </w:t>
      </w:r>
      <w:proofErr w:type="spellStart"/>
      <w:r>
        <w:rPr>
          <w:b/>
          <w:sz w:val="24"/>
        </w:rPr>
        <w:t>Nurina</w:t>
      </w:r>
      <w:proofErr w:type="spellEnd"/>
      <w:r>
        <w:rPr>
          <w:b/>
          <w:sz w:val="24"/>
        </w:rPr>
        <w:t xml:space="preserve"> Saffanah</w:t>
      </w:r>
      <w:r>
        <w:rPr>
          <w:b/>
          <w:sz w:val="24"/>
          <w:vertAlign w:val="superscript"/>
        </w:rPr>
        <w:t>2</w:t>
      </w:r>
      <w:r>
        <w:rPr>
          <w:b/>
          <w:sz w:val="24"/>
        </w:rPr>
        <w:tab/>
      </w:r>
      <w:r w:rsidR="00BE4EBF">
        <w:rPr>
          <w:b/>
          <w:sz w:val="24"/>
        </w:rPr>
        <w:t xml:space="preserve">| </w:t>
      </w:r>
      <w:r>
        <w:rPr>
          <w:b/>
          <w:sz w:val="24"/>
        </w:rPr>
        <w:t>Hamzah Ahmad</w:t>
      </w:r>
      <w:r>
        <w:rPr>
          <w:b/>
          <w:sz w:val="24"/>
          <w:vertAlign w:val="superscript"/>
        </w:rPr>
        <w:t>3</w:t>
      </w:r>
      <w:r w:rsidR="00BE4EBF">
        <w:rPr>
          <w:b/>
          <w:sz w:val="24"/>
        </w:rPr>
        <w:t xml:space="preserve"> </w:t>
      </w:r>
    </w:p>
    <w:p w14:paraId="69C7AF85" w14:textId="2600E1C2" w:rsidR="00A07ECC" w:rsidRDefault="00BE4EBF">
      <w:pPr>
        <w:ind w:left="2687" w:right="1052"/>
        <w:rPr>
          <w:i/>
          <w:sz w:val="20"/>
        </w:rPr>
      </w:pPr>
      <w:r>
        <w:rPr>
          <w:i/>
          <w:sz w:val="20"/>
          <w:vertAlign w:val="superscript"/>
        </w:rPr>
        <w:t>1</w:t>
      </w:r>
      <w:r>
        <w:rPr>
          <w:i/>
          <w:sz w:val="20"/>
        </w:rPr>
        <w:t xml:space="preserve">Universitas </w:t>
      </w:r>
      <w:r w:rsidR="00E45F32">
        <w:rPr>
          <w:i/>
          <w:sz w:val="20"/>
        </w:rPr>
        <w:t>Muslim Indonesia</w:t>
      </w:r>
      <w:r>
        <w:rPr>
          <w:i/>
          <w:sz w:val="20"/>
        </w:rPr>
        <w:t xml:space="preserve">, Department of </w:t>
      </w:r>
      <w:r w:rsidR="00E45F32">
        <w:rPr>
          <w:i/>
          <w:sz w:val="20"/>
        </w:rPr>
        <w:t>Accounting</w:t>
      </w:r>
      <w:r>
        <w:rPr>
          <w:i/>
          <w:sz w:val="20"/>
        </w:rPr>
        <w:t xml:space="preserve">, </w:t>
      </w:r>
      <w:r w:rsidR="00E45F32">
        <w:rPr>
          <w:i/>
          <w:sz w:val="20"/>
        </w:rPr>
        <w:t>Makassar</w:t>
      </w:r>
      <w:r>
        <w:rPr>
          <w:i/>
          <w:sz w:val="20"/>
        </w:rPr>
        <w:t>, Indonesia</w:t>
      </w:r>
      <w:r>
        <w:rPr>
          <w:i/>
          <w:spacing w:val="1"/>
          <w:sz w:val="20"/>
        </w:rPr>
        <w:t xml:space="preserve"> </w:t>
      </w:r>
      <w:r>
        <w:rPr>
          <w:i/>
          <w:sz w:val="20"/>
          <w:vertAlign w:val="superscript"/>
        </w:rPr>
        <w:t>2</w:t>
      </w:r>
      <w:r>
        <w:rPr>
          <w:i/>
          <w:sz w:val="20"/>
        </w:rPr>
        <w:t xml:space="preserve">Universitas </w:t>
      </w:r>
      <w:r w:rsidR="00E45F32">
        <w:rPr>
          <w:i/>
          <w:sz w:val="20"/>
        </w:rPr>
        <w:t>Muslim Indonesia</w:t>
      </w:r>
      <w:r>
        <w:rPr>
          <w:i/>
          <w:sz w:val="20"/>
        </w:rPr>
        <w:t xml:space="preserve">, Department of Accounting, </w:t>
      </w:r>
      <w:r w:rsidR="00E45F32">
        <w:rPr>
          <w:i/>
          <w:sz w:val="20"/>
        </w:rPr>
        <w:t>Makassar</w:t>
      </w:r>
      <w:r>
        <w:rPr>
          <w:i/>
          <w:sz w:val="20"/>
        </w:rPr>
        <w:t>, Indonesia</w:t>
      </w:r>
      <w:r>
        <w:rPr>
          <w:i/>
          <w:spacing w:val="-39"/>
          <w:sz w:val="20"/>
        </w:rPr>
        <w:t xml:space="preserve"> </w:t>
      </w:r>
      <w:r>
        <w:rPr>
          <w:i/>
          <w:sz w:val="20"/>
          <w:vertAlign w:val="superscript"/>
        </w:rPr>
        <w:t>3</w:t>
      </w:r>
      <w:r>
        <w:rPr>
          <w:i/>
          <w:sz w:val="20"/>
        </w:rPr>
        <w:t>Universitas</w:t>
      </w:r>
      <w:r>
        <w:rPr>
          <w:i/>
          <w:spacing w:val="-4"/>
          <w:sz w:val="20"/>
        </w:rPr>
        <w:t xml:space="preserve"> </w:t>
      </w:r>
      <w:r w:rsidR="00E45F32">
        <w:rPr>
          <w:i/>
          <w:sz w:val="20"/>
        </w:rPr>
        <w:t>Muslim Indonesia</w:t>
      </w:r>
      <w:r>
        <w:rPr>
          <w:i/>
          <w:sz w:val="20"/>
        </w:rPr>
        <w:t>,</w:t>
      </w:r>
      <w:r>
        <w:rPr>
          <w:i/>
          <w:spacing w:val="-4"/>
          <w:sz w:val="20"/>
        </w:rPr>
        <w:t xml:space="preserve"> </w:t>
      </w:r>
      <w:r>
        <w:rPr>
          <w:i/>
          <w:sz w:val="20"/>
        </w:rPr>
        <w:t>Department</w:t>
      </w:r>
      <w:r>
        <w:rPr>
          <w:i/>
          <w:spacing w:val="-5"/>
          <w:sz w:val="20"/>
        </w:rPr>
        <w:t xml:space="preserve"> </w:t>
      </w:r>
      <w:r>
        <w:rPr>
          <w:i/>
          <w:sz w:val="20"/>
        </w:rPr>
        <w:t>of</w:t>
      </w:r>
      <w:r>
        <w:rPr>
          <w:i/>
          <w:spacing w:val="-3"/>
          <w:sz w:val="20"/>
        </w:rPr>
        <w:t xml:space="preserve"> </w:t>
      </w:r>
      <w:r>
        <w:rPr>
          <w:i/>
          <w:sz w:val="20"/>
        </w:rPr>
        <w:t>Accounting,</w:t>
      </w:r>
      <w:r>
        <w:rPr>
          <w:i/>
          <w:spacing w:val="-1"/>
          <w:sz w:val="20"/>
        </w:rPr>
        <w:t xml:space="preserve"> </w:t>
      </w:r>
      <w:r w:rsidR="00E45F32">
        <w:rPr>
          <w:i/>
          <w:sz w:val="20"/>
        </w:rPr>
        <w:t>Makassar</w:t>
      </w:r>
      <w:r>
        <w:rPr>
          <w:i/>
          <w:sz w:val="20"/>
        </w:rPr>
        <w:t>,</w:t>
      </w:r>
      <w:r>
        <w:rPr>
          <w:i/>
          <w:spacing w:val="-4"/>
          <w:sz w:val="20"/>
        </w:rPr>
        <w:t xml:space="preserve"> </w:t>
      </w:r>
      <w:r>
        <w:rPr>
          <w:i/>
          <w:sz w:val="20"/>
        </w:rPr>
        <w:t>Indonesia</w:t>
      </w:r>
    </w:p>
    <w:p w14:paraId="08F95114" w14:textId="77777777" w:rsidR="00A07ECC" w:rsidRDefault="00A07ECC">
      <w:pPr>
        <w:pStyle w:val="BodyText"/>
        <w:spacing w:before="1"/>
        <w:rPr>
          <w:i/>
          <w:sz w:val="20"/>
        </w:rPr>
      </w:pPr>
    </w:p>
    <w:p w14:paraId="5FA831A6" w14:textId="03D84978" w:rsidR="00A07ECC" w:rsidRDefault="00BE4EBF">
      <w:pPr>
        <w:ind w:left="2687" w:right="137"/>
        <w:jc w:val="both"/>
        <w:rPr>
          <w:sz w:val="20"/>
        </w:rPr>
      </w:pPr>
      <w:r>
        <w:rPr>
          <w:sz w:val="20"/>
        </w:rPr>
        <w:t>*Correspondence to:</w:t>
      </w:r>
      <w:r w:rsidR="00154BE5">
        <w:rPr>
          <w:sz w:val="20"/>
        </w:rPr>
        <w:t xml:space="preserve"> </w:t>
      </w:r>
      <w:proofErr w:type="spellStart"/>
      <w:r w:rsidR="00AA144E">
        <w:rPr>
          <w:sz w:val="20"/>
        </w:rPr>
        <w:t>Andika</w:t>
      </w:r>
      <w:proofErr w:type="spellEnd"/>
      <w:r w:rsidR="00AA144E">
        <w:rPr>
          <w:sz w:val="20"/>
        </w:rPr>
        <w:t xml:space="preserve"> </w:t>
      </w:r>
      <w:proofErr w:type="spellStart"/>
      <w:r w:rsidR="00AA144E">
        <w:rPr>
          <w:sz w:val="20"/>
        </w:rPr>
        <w:t>Pramukti</w:t>
      </w:r>
      <w:proofErr w:type="spellEnd"/>
      <w:r w:rsidR="00AA144E">
        <w:rPr>
          <w:sz w:val="20"/>
        </w:rPr>
        <w:t xml:space="preserve">, </w:t>
      </w:r>
      <w:r>
        <w:rPr>
          <w:sz w:val="20"/>
        </w:rPr>
        <w:t xml:space="preserve">Universitas </w:t>
      </w:r>
      <w:r w:rsidR="00E45F32">
        <w:rPr>
          <w:sz w:val="20"/>
        </w:rPr>
        <w:t>Muslim Indonesia</w:t>
      </w:r>
      <w:r>
        <w:rPr>
          <w:sz w:val="20"/>
        </w:rPr>
        <w:t>, Faculty of Business and</w:t>
      </w:r>
      <w:r>
        <w:rPr>
          <w:spacing w:val="-41"/>
          <w:sz w:val="20"/>
        </w:rPr>
        <w:t xml:space="preserve"> </w:t>
      </w:r>
      <w:r>
        <w:rPr>
          <w:sz w:val="20"/>
        </w:rPr>
        <w:t>Economics, Department of</w:t>
      </w:r>
      <w:r w:rsidR="00E45F32">
        <w:rPr>
          <w:sz w:val="20"/>
        </w:rPr>
        <w:t xml:space="preserve"> </w:t>
      </w:r>
      <w:r>
        <w:rPr>
          <w:sz w:val="20"/>
        </w:rPr>
        <w:t xml:space="preserve">Accounting, Jalan </w:t>
      </w:r>
      <w:proofErr w:type="spellStart"/>
      <w:r w:rsidR="00E45F32">
        <w:rPr>
          <w:sz w:val="20"/>
        </w:rPr>
        <w:t>Urip</w:t>
      </w:r>
      <w:proofErr w:type="spellEnd"/>
      <w:r w:rsidR="00E45F32">
        <w:rPr>
          <w:sz w:val="20"/>
        </w:rPr>
        <w:t xml:space="preserve"> </w:t>
      </w:r>
      <w:proofErr w:type="spellStart"/>
      <w:r w:rsidR="00E45F32">
        <w:rPr>
          <w:sz w:val="20"/>
        </w:rPr>
        <w:t>Sumoharjo</w:t>
      </w:r>
      <w:proofErr w:type="spellEnd"/>
      <w:r w:rsidR="00E45F32">
        <w:rPr>
          <w:sz w:val="20"/>
        </w:rPr>
        <w:t xml:space="preserve"> Km. 5</w:t>
      </w:r>
      <w:r>
        <w:rPr>
          <w:sz w:val="20"/>
        </w:rPr>
        <w:t xml:space="preserve">, </w:t>
      </w:r>
      <w:r w:rsidR="00E45F32">
        <w:rPr>
          <w:sz w:val="20"/>
        </w:rPr>
        <w:t>Makassar</w:t>
      </w:r>
      <w:r>
        <w:rPr>
          <w:sz w:val="20"/>
        </w:rPr>
        <w:t xml:space="preserve">, </w:t>
      </w:r>
      <w:r w:rsidR="00E45F32">
        <w:rPr>
          <w:sz w:val="20"/>
        </w:rPr>
        <w:t>Sulawesi Selatan</w:t>
      </w:r>
      <w:r>
        <w:rPr>
          <w:sz w:val="20"/>
        </w:rPr>
        <w:t>,</w:t>
      </w:r>
      <w:r>
        <w:rPr>
          <w:spacing w:val="-2"/>
          <w:sz w:val="20"/>
        </w:rPr>
        <w:t xml:space="preserve"> </w:t>
      </w:r>
      <w:r w:rsidR="00154BE5">
        <w:rPr>
          <w:sz w:val="20"/>
        </w:rPr>
        <w:t>90231</w:t>
      </w:r>
      <w:r>
        <w:rPr>
          <w:sz w:val="20"/>
        </w:rPr>
        <w:t>, Indonesia.</w:t>
      </w:r>
    </w:p>
    <w:p w14:paraId="52858EC9" w14:textId="69058B06" w:rsidR="00A07ECC" w:rsidRDefault="00BE4EBF">
      <w:pPr>
        <w:spacing w:line="244" w:lineRule="exact"/>
        <w:ind w:left="2687"/>
        <w:jc w:val="both"/>
        <w:rPr>
          <w:sz w:val="20"/>
        </w:rPr>
      </w:pPr>
      <w:r>
        <w:rPr>
          <w:sz w:val="20"/>
        </w:rPr>
        <w:t>E-mail:</w:t>
      </w:r>
      <w:r>
        <w:rPr>
          <w:spacing w:val="-5"/>
          <w:sz w:val="20"/>
        </w:rPr>
        <w:t xml:space="preserve"> </w:t>
      </w:r>
      <w:r w:rsidR="00AA144E">
        <w:rPr>
          <w:spacing w:val="-5"/>
          <w:sz w:val="20"/>
        </w:rPr>
        <w:t>andika.pramukti@umi.ac.id</w:t>
      </w:r>
      <w:hyperlink r:id="rId10"/>
    </w:p>
    <w:p w14:paraId="68C39AEB" w14:textId="77777777" w:rsidR="00A07ECC" w:rsidRDefault="00A227C1">
      <w:pPr>
        <w:pStyle w:val="BodyText"/>
        <w:rPr>
          <w:sz w:val="18"/>
        </w:rPr>
      </w:pPr>
      <w:r>
        <w:pict w14:anchorId="73EF7F8C">
          <v:shapetype id="_x0000_t202" coordsize="21600,21600" o:spt="202" path="m,l,21600r21600,l21600,xe">
            <v:stroke joinstyle="miter"/>
            <v:path gradientshapeok="t" o:connecttype="rect"/>
          </v:shapetype>
          <v:shape id="_x0000_s1027" type="#_x0000_t202" alt="" style="position:absolute;margin-left:166.95pt;margin-top:12.25pt;width:389.95pt;height:189.05pt;z-index:-15727616;mso-wrap-style:square;mso-wrap-edited:f;mso-width-percent:0;mso-height-percent:0;mso-wrap-distance-left:0;mso-wrap-distance-right:0;mso-position-horizontal-relative:page;mso-width-percent:0;mso-height-percent:0;v-text-anchor:top" fillcolor="#e7e6e6" stroked="f">
            <v:textbox inset="0,0,0,0">
              <w:txbxContent>
                <w:p w14:paraId="012A5E27" w14:textId="36AE0DBB" w:rsidR="00AB5E21" w:rsidRPr="00AB5E21" w:rsidRDefault="00BE4EBF" w:rsidP="00AB5E21">
                  <w:pPr>
                    <w:ind w:left="28" w:right="24"/>
                    <w:jc w:val="both"/>
                    <w:rPr>
                      <w:b/>
                      <w:color w:val="00AF50"/>
                      <w:spacing w:val="-3"/>
                      <w:sz w:val="18"/>
                    </w:rPr>
                  </w:pPr>
                  <w:r>
                    <w:rPr>
                      <w:b/>
                      <w:color w:val="00AF50"/>
                      <w:sz w:val="18"/>
                    </w:rPr>
                    <w:t>Abstract:</w:t>
                  </w:r>
                  <w:r>
                    <w:rPr>
                      <w:b/>
                      <w:color w:val="00AF50"/>
                      <w:spacing w:val="-3"/>
                      <w:sz w:val="18"/>
                    </w:rPr>
                    <w:t xml:space="preserve"> </w:t>
                  </w:r>
                  <w:r w:rsidR="00452ABF" w:rsidRPr="00452ABF">
                    <w:rPr>
                      <w:bCs/>
                      <w:spacing w:val="-3"/>
                      <w:sz w:val="18"/>
                    </w:rPr>
                    <w:t>This study is aimed to examine the effect of</w:t>
                  </w:r>
                  <w:r w:rsidR="00452ABF">
                    <w:rPr>
                      <w:bCs/>
                      <w:spacing w:val="-3"/>
                      <w:sz w:val="18"/>
                    </w:rPr>
                    <w:t xml:space="preserve"> R</w:t>
                  </w:r>
                  <w:r w:rsidR="00452ABF" w:rsidRPr="00452ABF">
                    <w:rPr>
                      <w:bCs/>
                      <w:spacing w:val="-3"/>
                      <w:sz w:val="18"/>
                    </w:rPr>
                    <w:t>eputation toward the Quality of Corporate Social Responsibiity Disclosure</w:t>
                  </w:r>
                  <w:r w:rsidR="00452ABF">
                    <w:rPr>
                      <w:bCs/>
                      <w:spacing w:val="-3"/>
                      <w:sz w:val="18"/>
                    </w:rPr>
                    <w:t xml:space="preserve">. </w:t>
                  </w:r>
                  <w:r w:rsidR="00452ABF" w:rsidRPr="00452ABF">
                    <w:rPr>
                      <w:bCs/>
                      <w:spacing w:val="-3"/>
                      <w:sz w:val="18"/>
                    </w:rPr>
                    <w:t>This study applied an index based on the qualitative characteristics of the International Financial Reporting Standard Conceptual Framework. Moreover, the study is modified as a measured variable of the Quality of Corporate Social Responsibiity Disclosure.</w:t>
                  </w:r>
                  <w:r w:rsidR="00452ABF">
                    <w:rPr>
                      <w:bCs/>
                      <w:spacing w:val="-3"/>
                      <w:sz w:val="18"/>
                    </w:rPr>
                    <w:t xml:space="preserve"> </w:t>
                  </w:r>
                  <w:r w:rsidR="00452ABF" w:rsidRPr="00452ABF">
                    <w:rPr>
                      <w:bCs/>
                      <w:spacing w:val="-3"/>
                      <w:sz w:val="18"/>
                    </w:rPr>
                    <w:t>Furthermore, this study used purposive judgement sampling and 13 relevant financial sector companies were obtained.</w:t>
                  </w:r>
                  <w:r w:rsidR="00452ABF">
                    <w:rPr>
                      <w:bCs/>
                      <w:spacing w:val="-3"/>
                      <w:sz w:val="18"/>
                    </w:rPr>
                    <w:t xml:space="preserve"> </w:t>
                  </w:r>
                  <w:r w:rsidR="00C8484B" w:rsidRPr="00C8484B">
                    <w:rPr>
                      <w:bCs/>
                      <w:spacing w:val="-3"/>
                      <w:sz w:val="18"/>
                    </w:rPr>
                    <w:t>The results of this study indicate that</w:t>
                  </w:r>
                  <w:r w:rsidR="00C8484B">
                    <w:rPr>
                      <w:bCs/>
                      <w:spacing w:val="-3"/>
                      <w:sz w:val="18"/>
                    </w:rPr>
                    <w:t xml:space="preserve"> </w:t>
                  </w:r>
                  <w:r w:rsidR="00C8484B" w:rsidRPr="00C8484B">
                    <w:rPr>
                      <w:bCs/>
                      <w:spacing w:val="-3"/>
                      <w:sz w:val="18"/>
                    </w:rPr>
                    <w:t>company reputation have positive causal relationship with the quality of CSR disclosure, but it is insignificant.</w:t>
                  </w:r>
                  <w:r w:rsidR="00C8484B">
                    <w:rPr>
                      <w:bCs/>
                      <w:spacing w:val="-3"/>
                      <w:sz w:val="18"/>
                    </w:rPr>
                    <w:t xml:space="preserve"> </w:t>
                  </w:r>
                  <w:r w:rsidR="00C8484B" w:rsidRPr="00C8484B">
                    <w:rPr>
                      <w:bCs/>
                      <w:spacing w:val="-3"/>
                      <w:sz w:val="18"/>
                    </w:rPr>
                    <w:t xml:space="preserve">In addition, this study indicates that the relevant dimension has not been highlighted compared to other dimensions such as loyal representation, understanding, and Comparability. CSR disclosure prioritize quality </w:t>
                  </w:r>
                  <w:proofErr w:type="gramStart"/>
                  <w:r w:rsidR="00C8484B" w:rsidRPr="00C8484B">
                    <w:rPr>
                      <w:bCs/>
                      <w:spacing w:val="-3"/>
                      <w:sz w:val="18"/>
                    </w:rPr>
                    <w:t>in order to</w:t>
                  </w:r>
                  <w:proofErr w:type="gramEnd"/>
                  <w:r w:rsidR="00C8484B" w:rsidRPr="00C8484B">
                    <w:rPr>
                      <w:bCs/>
                      <w:spacing w:val="-3"/>
                      <w:sz w:val="18"/>
                    </w:rPr>
                    <w:t xml:space="preserve"> be credible communication tool for the users.</w:t>
                  </w:r>
                </w:p>
                <w:p w14:paraId="4BC0AE70" w14:textId="50EC1EE1" w:rsidR="00A07ECC" w:rsidRDefault="00154BE5">
                  <w:pPr>
                    <w:pStyle w:val="BodyText"/>
                    <w:spacing w:before="11"/>
                    <w:rPr>
                      <w:sz w:val="16"/>
                    </w:rPr>
                  </w:pPr>
                  <w:r>
                    <w:rPr>
                      <w:sz w:val="16"/>
                    </w:rPr>
                    <w:t xml:space="preserve"> </w:t>
                  </w:r>
                </w:p>
                <w:p w14:paraId="39F0CD5D" w14:textId="0ED9B471" w:rsidR="00A07ECC" w:rsidRDefault="00BE4EBF">
                  <w:pPr>
                    <w:ind w:left="28" w:right="24"/>
                    <w:jc w:val="both"/>
                    <w:rPr>
                      <w:sz w:val="18"/>
                    </w:rPr>
                  </w:pPr>
                  <w:r>
                    <w:rPr>
                      <w:b/>
                      <w:color w:val="00AF50"/>
                      <w:sz w:val="18"/>
                    </w:rPr>
                    <w:t xml:space="preserve">Keywords: </w:t>
                  </w:r>
                  <w:r>
                    <w:rPr>
                      <w:sz w:val="18"/>
                    </w:rPr>
                    <w:t>corporate social responsibility</w:t>
                  </w:r>
                  <w:r w:rsidR="00154BE5">
                    <w:rPr>
                      <w:sz w:val="18"/>
                    </w:rPr>
                    <w:t xml:space="preserve"> disclosure</w:t>
                  </w:r>
                  <w:r>
                    <w:rPr>
                      <w:sz w:val="18"/>
                    </w:rPr>
                    <w:t xml:space="preserve">, </w:t>
                  </w:r>
                  <w:r w:rsidR="00154BE5">
                    <w:rPr>
                      <w:sz w:val="18"/>
                    </w:rPr>
                    <w:t>reputation company</w:t>
                  </w:r>
                  <w:r>
                    <w:rPr>
                      <w:sz w:val="18"/>
                    </w:rPr>
                    <w:t>, Indonesia Sustainability Reporting</w:t>
                  </w:r>
                  <w:r>
                    <w:rPr>
                      <w:spacing w:val="1"/>
                      <w:sz w:val="18"/>
                    </w:rPr>
                    <w:t xml:space="preserve"> </w:t>
                  </w:r>
                  <w:r>
                    <w:rPr>
                      <w:sz w:val="18"/>
                    </w:rPr>
                    <w:t>Awards,</w:t>
                  </w:r>
                  <w:r>
                    <w:rPr>
                      <w:spacing w:val="-1"/>
                      <w:sz w:val="18"/>
                    </w:rPr>
                    <w:t xml:space="preserve"> </w:t>
                  </w:r>
                  <w:r>
                    <w:rPr>
                      <w:sz w:val="18"/>
                    </w:rPr>
                    <w:t>sustainability report.</w:t>
                  </w:r>
                </w:p>
              </w:txbxContent>
            </v:textbox>
            <w10:wrap type="topAndBottom" anchorx="page"/>
          </v:shape>
        </w:pict>
      </w:r>
    </w:p>
    <w:p w14:paraId="331B2AC6" w14:textId="77777777" w:rsidR="00A07ECC" w:rsidRDefault="00A07ECC">
      <w:pPr>
        <w:pStyle w:val="BodyText"/>
        <w:spacing w:before="9"/>
        <w:rPr>
          <w:sz w:val="11"/>
        </w:rPr>
      </w:pPr>
    </w:p>
    <w:p w14:paraId="3444BC02" w14:textId="4E375ED6" w:rsidR="00A07ECC" w:rsidRDefault="00BE4EBF">
      <w:pPr>
        <w:spacing w:before="59"/>
        <w:ind w:left="2687"/>
        <w:jc w:val="both"/>
        <w:rPr>
          <w:sz w:val="18"/>
        </w:rPr>
      </w:pPr>
      <w:r>
        <w:rPr>
          <w:b/>
          <w:color w:val="00AF50"/>
          <w:sz w:val="18"/>
        </w:rPr>
        <w:t>Article</w:t>
      </w:r>
      <w:r>
        <w:rPr>
          <w:b/>
          <w:color w:val="00AF50"/>
          <w:spacing w:val="-4"/>
          <w:sz w:val="18"/>
        </w:rPr>
        <w:t xml:space="preserve"> </w:t>
      </w:r>
      <w:r>
        <w:rPr>
          <w:b/>
          <w:color w:val="00AF50"/>
          <w:sz w:val="18"/>
        </w:rPr>
        <w:t>info:</w:t>
      </w:r>
      <w:r>
        <w:rPr>
          <w:b/>
          <w:color w:val="00AF50"/>
          <w:spacing w:val="-1"/>
          <w:sz w:val="18"/>
        </w:rPr>
        <w:t xml:space="preserve"> </w:t>
      </w:r>
      <w:r>
        <w:rPr>
          <w:sz w:val="18"/>
        </w:rPr>
        <w:t>|</w:t>
      </w:r>
      <w:r>
        <w:rPr>
          <w:spacing w:val="-2"/>
          <w:sz w:val="18"/>
        </w:rPr>
        <w:t xml:space="preserve"> </w:t>
      </w:r>
      <w:r>
        <w:rPr>
          <w:sz w:val="18"/>
        </w:rPr>
        <w:t>|</w:t>
      </w:r>
      <w:r>
        <w:rPr>
          <w:spacing w:val="-3"/>
          <w:sz w:val="18"/>
        </w:rPr>
        <w:t xml:space="preserve"> </w:t>
      </w:r>
    </w:p>
    <w:p w14:paraId="4BED568B" w14:textId="77777777" w:rsidR="00A07ECC" w:rsidRDefault="00A07ECC">
      <w:pPr>
        <w:pStyle w:val="BodyText"/>
        <w:spacing w:before="2"/>
        <w:rPr>
          <w:sz w:val="18"/>
        </w:rPr>
      </w:pPr>
    </w:p>
    <w:p w14:paraId="6B1DE6B7" w14:textId="3C1A5CE2" w:rsidR="00A07ECC" w:rsidRDefault="00BE4EBF">
      <w:pPr>
        <w:ind w:left="2687" w:right="135"/>
        <w:jc w:val="both"/>
        <w:rPr>
          <w:sz w:val="18"/>
        </w:rPr>
      </w:pPr>
      <w:r>
        <w:rPr>
          <w:b/>
          <w:color w:val="00AF50"/>
          <w:sz w:val="18"/>
        </w:rPr>
        <w:t xml:space="preserve">Recommended citation: </w:t>
      </w:r>
    </w:p>
    <w:p w14:paraId="7528DA9C" w14:textId="77777777" w:rsidR="00A07ECC" w:rsidRDefault="00A227C1">
      <w:pPr>
        <w:pStyle w:val="BodyText"/>
        <w:spacing w:before="11"/>
        <w:rPr>
          <w:sz w:val="16"/>
        </w:rPr>
      </w:pPr>
      <w:r>
        <w:pict w14:anchorId="45FD0BA1">
          <v:rect id="_x0000_s1026" alt="" style="position:absolute;margin-left:46.45pt;margin-top:12.3pt;width:510.45pt;height:1.45pt;z-index:-15727104;mso-wrap-edited:f;mso-width-percent:0;mso-height-percent:0;mso-wrap-distance-left:0;mso-wrap-distance-right:0;mso-position-horizontal-relative:page;mso-width-percent:0;mso-height-percent:0" fillcolor="black" stroked="f">
            <w10:wrap type="topAndBottom" anchorx="page"/>
          </v:rect>
        </w:pict>
      </w:r>
    </w:p>
    <w:p w14:paraId="3B5794AC" w14:textId="77777777" w:rsidR="00A07ECC" w:rsidRDefault="00A07ECC">
      <w:pPr>
        <w:pStyle w:val="BodyText"/>
        <w:rPr>
          <w:sz w:val="20"/>
        </w:rPr>
      </w:pPr>
    </w:p>
    <w:p w14:paraId="29EF6A05" w14:textId="77777777" w:rsidR="00A07ECC" w:rsidRDefault="00BE4EBF">
      <w:pPr>
        <w:pStyle w:val="Heading1"/>
        <w:spacing w:before="175"/>
      </w:pPr>
      <w:r>
        <w:rPr>
          <w:color w:val="00AF50"/>
        </w:rPr>
        <w:t>INTRODUCTION</w:t>
      </w:r>
    </w:p>
    <w:p w14:paraId="60C30BFE" w14:textId="77777777" w:rsidR="00A07ECC" w:rsidRDefault="00A07ECC">
      <w:pPr>
        <w:pStyle w:val="BodyText"/>
        <w:spacing w:before="4"/>
        <w:rPr>
          <w:b/>
          <w:sz w:val="29"/>
        </w:rPr>
      </w:pPr>
    </w:p>
    <w:p w14:paraId="1D7D4ABA" w14:textId="688D68EA" w:rsidR="0044037C" w:rsidRDefault="00553CFB" w:rsidP="0044037C">
      <w:pPr>
        <w:pStyle w:val="BodyText"/>
        <w:spacing w:before="1" w:line="276" w:lineRule="auto"/>
        <w:ind w:left="277" w:right="138" w:firstLine="7"/>
        <w:jc w:val="both"/>
      </w:pPr>
      <w:proofErr w:type="spellStart"/>
      <w:r>
        <w:t>Reputasi</w:t>
      </w:r>
      <w:proofErr w:type="spellEnd"/>
      <w:r>
        <w:t xml:space="preserve"> </w:t>
      </w:r>
      <w:proofErr w:type="spellStart"/>
      <w:r>
        <w:t>perusahaan</w:t>
      </w:r>
      <w:proofErr w:type="spellEnd"/>
      <w:r>
        <w:t xml:space="preserve"> </w:t>
      </w:r>
      <w:proofErr w:type="spellStart"/>
      <w:r>
        <w:t>mencerminkan</w:t>
      </w:r>
      <w:proofErr w:type="spellEnd"/>
      <w:r>
        <w:t xml:space="preserve"> </w:t>
      </w:r>
      <w:proofErr w:type="spellStart"/>
      <w:r w:rsidR="0044037C">
        <w:t>persepsi</w:t>
      </w:r>
      <w:proofErr w:type="spellEnd"/>
      <w:r w:rsidR="0044037C">
        <w:t xml:space="preserve"> </w:t>
      </w:r>
      <w:proofErr w:type="spellStart"/>
      <w:r w:rsidR="0044037C">
        <w:t>publik</w:t>
      </w:r>
      <w:proofErr w:type="spellEnd"/>
      <w:r w:rsidR="0044037C">
        <w:t xml:space="preserve"> dan </w:t>
      </w:r>
      <w:proofErr w:type="spellStart"/>
      <w:r>
        <w:t>hubungan</w:t>
      </w:r>
      <w:proofErr w:type="spellEnd"/>
      <w:r>
        <w:t xml:space="preserve"> yang </w:t>
      </w:r>
      <w:proofErr w:type="spellStart"/>
      <w:r>
        <w:t>dimiliki</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kelompok</w:t>
      </w:r>
      <w:proofErr w:type="spellEnd"/>
      <w:r>
        <w:t xml:space="preserve"> </w:t>
      </w:r>
      <w:proofErr w:type="spellStart"/>
      <w:r>
        <w:t>pemangku</w:t>
      </w:r>
      <w:proofErr w:type="spellEnd"/>
      <w:r>
        <w:t xml:space="preserve"> </w:t>
      </w:r>
      <w:proofErr w:type="spellStart"/>
      <w:r>
        <w:t>kepentingan</w:t>
      </w:r>
      <w:proofErr w:type="spellEnd"/>
      <w:r w:rsidR="00A45F1A">
        <w:t xml:space="preserve">. Hal </w:t>
      </w:r>
      <w:proofErr w:type="spellStart"/>
      <w:r w:rsidR="00A45F1A">
        <w:t>inilah</w:t>
      </w:r>
      <w:proofErr w:type="spellEnd"/>
      <w:r w:rsidR="00A45F1A">
        <w:t xml:space="preserve"> </w:t>
      </w:r>
      <w:r>
        <w:t xml:space="preserve">yang </w:t>
      </w:r>
      <w:proofErr w:type="spellStart"/>
      <w:r>
        <w:t>dianggap</w:t>
      </w:r>
      <w:proofErr w:type="spellEnd"/>
      <w:r>
        <w:t xml:space="preserve"> </w:t>
      </w:r>
      <w:proofErr w:type="spellStart"/>
      <w:r>
        <w:t>relevan</w:t>
      </w:r>
      <w:proofErr w:type="spellEnd"/>
      <w:r>
        <w:t xml:space="preserve"> oleh </w:t>
      </w:r>
      <w:proofErr w:type="spellStart"/>
      <w:r>
        <w:t>pemangku</w:t>
      </w:r>
      <w:proofErr w:type="spellEnd"/>
      <w:r>
        <w:t xml:space="preserve"> </w:t>
      </w:r>
      <w:proofErr w:type="spellStart"/>
      <w:r>
        <w:t>kepentingan</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keputusan</w:t>
      </w:r>
      <w:proofErr w:type="spellEnd"/>
      <w:r>
        <w:t>.</w:t>
      </w:r>
      <w:r w:rsidR="00867F3D">
        <w:t xml:space="preserve"> </w:t>
      </w:r>
      <w:r w:rsidR="0044037C">
        <w:t xml:space="preserve">Perusahaan </w:t>
      </w:r>
      <w:proofErr w:type="spellStart"/>
      <w:r w:rsidR="0044037C">
        <w:t>dengan</w:t>
      </w:r>
      <w:proofErr w:type="spellEnd"/>
      <w:r w:rsidR="0044037C">
        <w:t xml:space="preserve"> </w:t>
      </w:r>
      <w:proofErr w:type="spellStart"/>
      <w:r w:rsidR="0044037C">
        <w:t>reputasi</w:t>
      </w:r>
      <w:proofErr w:type="spellEnd"/>
      <w:r w:rsidR="0044037C">
        <w:t xml:space="preserve"> yang </w:t>
      </w:r>
      <w:proofErr w:type="spellStart"/>
      <w:r w:rsidR="0044037C">
        <w:t>baik</w:t>
      </w:r>
      <w:proofErr w:type="spellEnd"/>
      <w:r w:rsidR="0044037C">
        <w:t xml:space="preserve"> </w:t>
      </w:r>
      <w:proofErr w:type="spellStart"/>
      <w:r w:rsidR="00A45F1A">
        <w:t>akan</w:t>
      </w:r>
      <w:proofErr w:type="spellEnd"/>
      <w:r w:rsidR="00A45F1A">
        <w:t xml:space="preserve"> </w:t>
      </w:r>
      <w:proofErr w:type="spellStart"/>
      <w:r w:rsidR="00A45F1A">
        <w:t>mudah</w:t>
      </w:r>
      <w:proofErr w:type="spellEnd"/>
      <w:r w:rsidR="0044037C">
        <w:t xml:space="preserve"> </w:t>
      </w:r>
      <w:proofErr w:type="spellStart"/>
      <w:r w:rsidR="0044037C">
        <w:t>bersaing</w:t>
      </w:r>
      <w:proofErr w:type="spellEnd"/>
      <w:r w:rsidR="0044037C">
        <w:t xml:space="preserve"> </w:t>
      </w:r>
      <w:proofErr w:type="spellStart"/>
      <w:r w:rsidR="0044037C">
        <w:t>dengan</w:t>
      </w:r>
      <w:proofErr w:type="spellEnd"/>
      <w:r w:rsidR="0044037C">
        <w:t xml:space="preserve"> </w:t>
      </w:r>
      <w:proofErr w:type="spellStart"/>
      <w:r w:rsidR="0044037C">
        <w:t>perusahaan</w:t>
      </w:r>
      <w:proofErr w:type="spellEnd"/>
      <w:r w:rsidR="0044037C">
        <w:t xml:space="preserve"> lain dan </w:t>
      </w:r>
      <w:proofErr w:type="spellStart"/>
      <w:r w:rsidR="0044037C">
        <w:t>menjadi</w:t>
      </w:r>
      <w:proofErr w:type="spellEnd"/>
      <w:r w:rsidR="0044037C">
        <w:t xml:space="preserve"> </w:t>
      </w:r>
      <w:proofErr w:type="spellStart"/>
      <w:r w:rsidR="0044037C">
        <w:t>incaran</w:t>
      </w:r>
      <w:proofErr w:type="spellEnd"/>
      <w:r w:rsidR="0044037C">
        <w:t xml:space="preserve"> </w:t>
      </w:r>
      <w:proofErr w:type="spellStart"/>
      <w:r w:rsidR="0044037C">
        <w:t>bagi</w:t>
      </w:r>
      <w:proofErr w:type="spellEnd"/>
      <w:r w:rsidR="0044037C">
        <w:t xml:space="preserve"> para investor. Lain </w:t>
      </w:r>
      <w:proofErr w:type="spellStart"/>
      <w:r w:rsidR="0044037C">
        <w:t>halnya</w:t>
      </w:r>
      <w:proofErr w:type="spellEnd"/>
      <w:r w:rsidR="0044037C">
        <w:t xml:space="preserve">, </w:t>
      </w:r>
      <w:proofErr w:type="spellStart"/>
      <w:r w:rsidR="0044037C">
        <w:t>perusahaan</w:t>
      </w:r>
      <w:proofErr w:type="spellEnd"/>
      <w:r w:rsidR="0044037C">
        <w:t xml:space="preserve"> </w:t>
      </w:r>
      <w:proofErr w:type="spellStart"/>
      <w:r w:rsidR="0044037C">
        <w:t>dengan</w:t>
      </w:r>
      <w:proofErr w:type="spellEnd"/>
      <w:r w:rsidR="0044037C">
        <w:t xml:space="preserve"> </w:t>
      </w:r>
      <w:proofErr w:type="spellStart"/>
      <w:r w:rsidR="0044037C">
        <w:t>reputasi</w:t>
      </w:r>
      <w:proofErr w:type="spellEnd"/>
      <w:r w:rsidR="0044037C">
        <w:t xml:space="preserve"> yang </w:t>
      </w:r>
      <w:proofErr w:type="spellStart"/>
      <w:r w:rsidR="0044037C">
        <w:t>buruk</w:t>
      </w:r>
      <w:proofErr w:type="spellEnd"/>
      <w:r w:rsidR="0044037C">
        <w:t xml:space="preserve"> </w:t>
      </w:r>
      <w:proofErr w:type="spellStart"/>
      <w:r w:rsidR="0044037C">
        <w:t>dapat</w:t>
      </w:r>
      <w:proofErr w:type="spellEnd"/>
      <w:r w:rsidR="0044037C">
        <w:t xml:space="preserve"> </w:t>
      </w:r>
      <w:proofErr w:type="spellStart"/>
      <w:r w:rsidR="0044037C">
        <w:t>memunculkan</w:t>
      </w:r>
      <w:proofErr w:type="spellEnd"/>
      <w:r w:rsidR="0044037C">
        <w:t xml:space="preserve"> </w:t>
      </w:r>
      <w:proofErr w:type="spellStart"/>
      <w:r w:rsidR="0044037C">
        <w:t>sentimen</w:t>
      </w:r>
      <w:proofErr w:type="spellEnd"/>
      <w:r w:rsidR="0044037C">
        <w:t xml:space="preserve"> </w:t>
      </w:r>
      <w:proofErr w:type="spellStart"/>
      <w:r w:rsidR="0044037C">
        <w:t>negatif</w:t>
      </w:r>
      <w:proofErr w:type="spellEnd"/>
      <w:r w:rsidR="0044037C">
        <w:t xml:space="preserve"> </w:t>
      </w:r>
      <w:proofErr w:type="spellStart"/>
      <w:r w:rsidR="0044037C">
        <w:t>terhadap</w:t>
      </w:r>
      <w:proofErr w:type="spellEnd"/>
      <w:r w:rsidR="0044037C">
        <w:t xml:space="preserve"> </w:t>
      </w:r>
      <w:proofErr w:type="spellStart"/>
      <w:r w:rsidR="0044037C">
        <w:t>perusahaan</w:t>
      </w:r>
      <w:proofErr w:type="spellEnd"/>
      <w:r w:rsidR="00A45F1A">
        <w:t xml:space="preserve"> </w:t>
      </w:r>
      <w:proofErr w:type="spellStart"/>
      <w:r w:rsidR="0044037C">
        <w:t>akan</w:t>
      </w:r>
      <w:proofErr w:type="spellEnd"/>
      <w:r w:rsidR="0044037C">
        <w:t xml:space="preserve"> </w:t>
      </w:r>
      <w:proofErr w:type="spellStart"/>
      <w:r w:rsidR="0044037C">
        <w:t>berdampak</w:t>
      </w:r>
      <w:proofErr w:type="spellEnd"/>
      <w:r w:rsidR="0044037C">
        <w:t xml:space="preserve"> pada </w:t>
      </w:r>
      <w:proofErr w:type="spellStart"/>
      <w:r w:rsidR="0044037C">
        <w:t>keberlanjutan</w:t>
      </w:r>
      <w:proofErr w:type="spellEnd"/>
      <w:r w:rsidR="0044037C">
        <w:t xml:space="preserve"> </w:t>
      </w:r>
      <w:proofErr w:type="spellStart"/>
      <w:r w:rsidR="0044037C">
        <w:t>bisnisnya</w:t>
      </w:r>
      <w:proofErr w:type="spellEnd"/>
      <w:r w:rsidR="0044037C">
        <w:t xml:space="preserve">. </w:t>
      </w:r>
      <w:proofErr w:type="spellStart"/>
      <w:r w:rsidR="0044037C">
        <w:t>Sehingga</w:t>
      </w:r>
      <w:proofErr w:type="spellEnd"/>
      <w:r w:rsidR="0044037C">
        <w:t xml:space="preserve">, </w:t>
      </w:r>
      <w:proofErr w:type="spellStart"/>
      <w:r w:rsidR="0044037C">
        <w:t>perusahaan</w:t>
      </w:r>
      <w:proofErr w:type="spellEnd"/>
      <w:r w:rsidR="0044037C">
        <w:t xml:space="preserve"> </w:t>
      </w:r>
      <w:proofErr w:type="spellStart"/>
      <w:r w:rsidR="0044037C">
        <w:t>akan</w:t>
      </w:r>
      <w:proofErr w:type="spellEnd"/>
      <w:r w:rsidR="0044037C">
        <w:t xml:space="preserve"> </w:t>
      </w:r>
      <w:proofErr w:type="spellStart"/>
      <w:r w:rsidR="0044037C">
        <w:t>melakukan</w:t>
      </w:r>
      <w:proofErr w:type="spellEnd"/>
      <w:r w:rsidR="0044037C">
        <w:t xml:space="preserve"> </w:t>
      </w:r>
      <w:proofErr w:type="spellStart"/>
      <w:r w:rsidR="0044037C">
        <w:t>berbagai</w:t>
      </w:r>
      <w:proofErr w:type="spellEnd"/>
      <w:r w:rsidR="0044037C">
        <w:t xml:space="preserve"> </w:t>
      </w:r>
      <w:proofErr w:type="spellStart"/>
      <w:r w:rsidR="0044037C">
        <w:t>cara</w:t>
      </w:r>
      <w:proofErr w:type="spellEnd"/>
      <w:r w:rsidR="0044037C">
        <w:t xml:space="preserve"> </w:t>
      </w:r>
      <w:proofErr w:type="spellStart"/>
      <w:r w:rsidR="0044037C">
        <w:t>untuk</w:t>
      </w:r>
      <w:proofErr w:type="spellEnd"/>
      <w:r w:rsidR="0044037C">
        <w:t xml:space="preserve"> </w:t>
      </w:r>
      <w:proofErr w:type="spellStart"/>
      <w:r w:rsidR="0044037C">
        <w:t>membangun</w:t>
      </w:r>
      <w:proofErr w:type="spellEnd"/>
      <w:r w:rsidR="0044037C">
        <w:t xml:space="preserve"> dan </w:t>
      </w:r>
      <w:proofErr w:type="spellStart"/>
      <w:r w:rsidR="0044037C">
        <w:t>mempertahankan</w:t>
      </w:r>
      <w:proofErr w:type="spellEnd"/>
      <w:r w:rsidR="0044037C">
        <w:t xml:space="preserve"> </w:t>
      </w:r>
      <w:proofErr w:type="spellStart"/>
      <w:r w:rsidR="0044037C">
        <w:t>reputasi</w:t>
      </w:r>
      <w:proofErr w:type="spellEnd"/>
      <w:r w:rsidR="0044037C">
        <w:t xml:space="preserve"> yang </w:t>
      </w:r>
      <w:proofErr w:type="spellStart"/>
      <w:r w:rsidR="0044037C">
        <w:t>baik</w:t>
      </w:r>
      <w:proofErr w:type="spellEnd"/>
      <w:r w:rsidR="0044037C">
        <w:t xml:space="preserve">, salah </w:t>
      </w:r>
      <w:proofErr w:type="spellStart"/>
      <w:r w:rsidR="0044037C">
        <w:t>satunya</w:t>
      </w:r>
      <w:proofErr w:type="spellEnd"/>
      <w:r w:rsidR="0044037C">
        <w:t xml:space="preserve"> </w:t>
      </w:r>
      <w:proofErr w:type="spellStart"/>
      <w:r w:rsidR="0044037C">
        <w:t>dengan</w:t>
      </w:r>
      <w:proofErr w:type="spellEnd"/>
      <w:r w:rsidR="0044037C">
        <w:t xml:space="preserve"> </w:t>
      </w:r>
      <w:proofErr w:type="spellStart"/>
      <w:r w:rsidR="0044037C">
        <w:t>cara</w:t>
      </w:r>
      <w:proofErr w:type="spellEnd"/>
      <w:r w:rsidR="0044037C">
        <w:t xml:space="preserve"> </w:t>
      </w:r>
      <w:proofErr w:type="spellStart"/>
      <w:r w:rsidR="0044037C">
        <w:t>pengungkapan</w:t>
      </w:r>
      <w:proofErr w:type="spellEnd"/>
      <w:r w:rsidR="0044037C">
        <w:t xml:space="preserve"> </w:t>
      </w:r>
      <w:proofErr w:type="spellStart"/>
      <w:r w:rsidR="0044037C">
        <w:t>tanggung</w:t>
      </w:r>
      <w:proofErr w:type="spellEnd"/>
      <w:r w:rsidR="0044037C">
        <w:t xml:space="preserve"> </w:t>
      </w:r>
      <w:proofErr w:type="spellStart"/>
      <w:r w:rsidR="0044037C">
        <w:t>jawab</w:t>
      </w:r>
      <w:proofErr w:type="spellEnd"/>
      <w:r w:rsidR="0044037C">
        <w:t xml:space="preserve"> </w:t>
      </w:r>
      <w:proofErr w:type="spellStart"/>
      <w:r w:rsidR="0044037C">
        <w:t>sosial</w:t>
      </w:r>
      <w:proofErr w:type="spellEnd"/>
      <w:r w:rsidR="0044037C">
        <w:t xml:space="preserve"> </w:t>
      </w:r>
      <w:proofErr w:type="spellStart"/>
      <w:r w:rsidR="0044037C">
        <w:t>dalam</w:t>
      </w:r>
      <w:proofErr w:type="spellEnd"/>
      <w:r w:rsidR="0044037C">
        <w:t xml:space="preserve"> </w:t>
      </w:r>
      <w:proofErr w:type="spellStart"/>
      <w:r w:rsidR="0044037C">
        <w:t>laporan</w:t>
      </w:r>
      <w:proofErr w:type="spellEnd"/>
      <w:r w:rsidR="0044037C">
        <w:t xml:space="preserve"> </w:t>
      </w:r>
      <w:proofErr w:type="spellStart"/>
      <w:r w:rsidR="0044037C">
        <w:t>keberlanjutan</w:t>
      </w:r>
      <w:proofErr w:type="spellEnd"/>
      <w:r w:rsidR="0044037C">
        <w:t xml:space="preserve"> (</w:t>
      </w:r>
      <w:r w:rsidR="0044037C">
        <w:rPr>
          <w:i/>
          <w:iCs/>
        </w:rPr>
        <w:t>Sustainability report</w:t>
      </w:r>
      <w:r w:rsidR="0044037C">
        <w:t xml:space="preserve">) </w:t>
      </w:r>
      <w:r w:rsidR="0044037C">
        <w:fldChar w:fldCharType="begin" w:fldLock="1"/>
      </w:r>
      <w:r w:rsidR="00C100C1">
        <w:instrText>ADDIN CSL_CITATION {"citationItems":[{"id":"ITEM-1","itemData":{"author":[{"dropping-particle":"","family":"Dewi","given":"Vera Intanie","non-dropping-particle":"","parse-names":false,"suffix":""}],"id":"ITEM-1","issued":{"date-parts":[["2012"]]},"page":"24-34","title":"SOCIALLY RESPONSIBLE INVESTMENT SEBAGAI MOTIF PENERAPAN SUSTAINABLE CORPORATE SOCIAL RESPONSIBILITY","type":"article-journal","volume":"16"},"uris":["http://www.mendeley.com/documents/?uuid=a2f80cad-af81-4294-a610-bcfbccddca8b"]}],"mendeley":{"formattedCitation":"(Dewi, 2012)","plainTextFormattedCitation":"(Dewi, 2012)","previouslyFormattedCitation":"(Dewi, 2012)"},"properties":{"noteIndex":0},"schema":"https://github.com/citation-style-language/schema/raw/master/csl-citation.json"}</w:instrText>
      </w:r>
      <w:r w:rsidR="0044037C">
        <w:fldChar w:fldCharType="separate"/>
      </w:r>
      <w:r w:rsidR="0044037C" w:rsidRPr="00D6309F">
        <w:rPr>
          <w:noProof/>
        </w:rPr>
        <w:t>(Dewi, 2012)</w:t>
      </w:r>
      <w:r w:rsidR="0044037C">
        <w:fldChar w:fldCharType="end"/>
      </w:r>
      <w:r w:rsidR="0044037C">
        <w:t>.</w:t>
      </w:r>
    </w:p>
    <w:p w14:paraId="0AEC7181" w14:textId="095BEC35" w:rsidR="0044037C" w:rsidRDefault="001D25E6" w:rsidP="00DB468F">
      <w:pPr>
        <w:pStyle w:val="BodyText"/>
        <w:spacing w:before="1" w:line="276" w:lineRule="auto"/>
        <w:ind w:left="277" w:right="138" w:firstLine="443"/>
        <w:jc w:val="both"/>
      </w:pPr>
      <w:proofErr w:type="spellStart"/>
      <w:r>
        <w:t>Reputasi</w:t>
      </w:r>
      <w:proofErr w:type="spellEnd"/>
      <w:r>
        <w:t xml:space="preserve"> </w:t>
      </w:r>
      <w:proofErr w:type="spellStart"/>
      <w:r>
        <w:t>perusahaan</w:t>
      </w:r>
      <w:proofErr w:type="spellEnd"/>
      <w:r>
        <w:t xml:space="preserve">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informasi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yang </w:t>
      </w:r>
      <w:proofErr w:type="spellStart"/>
      <w:r>
        <w:t>diungkapkan</w:t>
      </w:r>
      <w:proofErr w:type="spellEnd"/>
      <w:r>
        <w:t xml:space="preserve"> </w:t>
      </w:r>
      <w:proofErr w:type="spellStart"/>
      <w:r>
        <w:t>dalam</w:t>
      </w:r>
      <w:proofErr w:type="spellEnd"/>
      <w:r>
        <w:t xml:space="preserve"> </w:t>
      </w:r>
      <w:proofErr w:type="spellStart"/>
      <w:r>
        <w:t>laporan</w:t>
      </w:r>
      <w:proofErr w:type="spellEnd"/>
      <w:r>
        <w:t xml:space="preserve"> </w:t>
      </w:r>
      <w:proofErr w:type="spellStart"/>
      <w:r>
        <w:t>keberlanjutan</w:t>
      </w:r>
      <w:proofErr w:type="spellEnd"/>
      <w:r>
        <w:t xml:space="preserve"> </w:t>
      </w:r>
      <w:proofErr w:type="spellStart"/>
      <w:r>
        <w:t>perusahaan</w:t>
      </w:r>
      <w:proofErr w:type="spellEnd"/>
      <w:r>
        <w:t>.</w:t>
      </w:r>
      <w:r w:rsidR="005545FE">
        <w:t xml:space="preserve"> </w:t>
      </w:r>
      <w:r w:rsidR="005545FE">
        <w:rPr>
          <w:i/>
          <w:iCs/>
        </w:rPr>
        <w:fldChar w:fldCharType="begin" w:fldLock="1"/>
      </w:r>
      <w:r w:rsidR="00C100C1">
        <w:rPr>
          <w:i/>
          <w:iCs/>
        </w:rPr>
        <w:instrText>ADDIN CSL_CITATION {"citationItems":[{"id":"ITEM-1","itemData":{"author":[{"dropping-particle":"","family":"Global Reporting Initiative","given":"","non-dropping-particle":"","parse-names":false,"suffix":""}],"id":"ITEM-1","issued":{"date-parts":[["2016"]]},"title":"GRI G4 Standard","type":"article-journal"},"uris":["http://www.mendeley.com/documents/?uuid=286faa21-f1d4-47c8-987e-f2bcd0c60238"]}],"mendeley":{"formattedCitation":"(Global Reporting Initiative, 2016)","manualFormatting":"Global Reporting Initiative (2016)","plainTextFormattedCitation":"(Global Reporting Initiative, 2016)","previouslyFormattedCitation":"(Global Reporting Initiative, 2016)"},"properties":{"noteIndex":0},"schema":"https://github.com/citation-style-language/schema/raw/master/csl-citation.json"}</w:instrText>
      </w:r>
      <w:r w:rsidR="005545FE">
        <w:rPr>
          <w:i/>
          <w:iCs/>
        </w:rPr>
        <w:fldChar w:fldCharType="separate"/>
      </w:r>
      <w:r w:rsidR="005545FE" w:rsidRPr="005545FE">
        <w:rPr>
          <w:iCs/>
          <w:noProof/>
        </w:rPr>
        <w:t>Global Reporting Initiative</w:t>
      </w:r>
      <w:r w:rsidR="005545FE">
        <w:rPr>
          <w:iCs/>
          <w:noProof/>
        </w:rPr>
        <w:t xml:space="preserve"> (</w:t>
      </w:r>
      <w:r w:rsidR="005545FE" w:rsidRPr="005545FE">
        <w:rPr>
          <w:iCs/>
          <w:noProof/>
        </w:rPr>
        <w:t>2016)</w:t>
      </w:r>
      <w:r w:rsidR="005545FE">
        <w:rPr>
          <w:i/>
          <w:iCs/>
        </w:rPr>
        <w:fldChar w:fldCharType="end"/>
      </w:r>
      <w:r w:rsidR="005545FE">
        <w:t xml:space="preserve"> </w:t>
      </w:r>
      <w:proofErr w:type="spellStart"/>
      <w:r w:rsidR="005545FE">
        <w:t>menyatakan</w:t>
      </w:r>
      <w:proofErr w:type="spellEnd"/>
      <w:r w:rsidR="005545FE">
        <w:t xml:space="preserve"> </w:t>
      </w:r>
      <w:proofErr w:type="spellStart"/>
      <w:r w:rsidR="005545FE">
        <w:t>bahwa</w:t>
      </w:r>
      <w:proofErr w:type="spellEnd"/>
      <w:r w:rsidR="005545FE">
        <w:t xml:space="preserve"> </w:t>
      </w:r>
      <w:proofErr w:type="spellStart"/>
      <w:r w:rsidR="005545FE">
        <w:t>kualitas</w:t>
      </w:r>
      <w:proofErr w:type="spellEnd"/>
      <w:r w:rsidR="005545FE">
        <w:t xml:space="preserve"> </w:t>
      </w:r>
      <w:proofErr w:type="spellStart"/>
      <w:r w:rsidR="005545FE">
        <w:t>informasi</w:t>
      </w:r>
      <w:proofErr w:type="spellEnd"/>
      <w:r w:rsidR="005545FE">
        <w:t xml:space="preserve"> </w:t>
      </w:r>
      <w:proofErr w:type="spellStart"/>
      <w:r w:rsidR="005545FE">
        <w:t>tanggung</w:t>
      </w:r>
      <w:proofErr w:type="spellEnd"/>
      <w:r w:rsidR="005545FE">
        <w:t xml:space="preserve"> </w:t>
      </w:r>
      <w:proofErr w:type="spellStart"/>
      <w:r w:rsidR="005545FE">
        <w:t>jawab</w:t>
      </w:r>
      <w:proofErr w:type="spellEnd"/>
      <w:r w:rsidR="005545FE">
        <w:t xml:space="preserve"> </w:t>
      </w:r>
      <w:proofErr w:type="spellStart"/>
      <w:r w:rsidR="005545FE">
        <w:t>sosial</w:t>
      </w:r>
      <w:proofErr w:type="spellEnd"/>
      <w:r w:rsidR="005545FE">
        <w:t xml:space="preserve"> yang </w:t>
      </w:r>
      <w:proofErr w:type="spellStart"/>
      <w:r w:rsidR="005545FE">
        <w:t>diungkapkan</w:t>
      </w:r>
      <w:proofErr w:type="spellEnd"/>
      <w:r w:rsidR="005545FE">
        <w:t xml:space="preserve"> </w:t>
      </w:r>
      <w:proofErr w:type="spellStart"/>
      <w:r w:rsidR="005545FE">
        <w:t>mencerminkan</w:t>
      </w:r>
      <w:proofErr w:type="spellEnd"/>
      <w:r w:rsidR="005545FE">
        <w:t xml:space="preserve"> </w:t>
      </w:r>
      <w:proofErr w:type="spellStart"/>
      <w:r w:rsidR="005545FE">
        <w:t>keseimbangan</w:t>
      </w:r>
      <w:proofErr w:type="spellEnd"/>
      <w:r w:rsidR="005545FE">
        <w:t xml:space="preserve">, </w:t>
      </w:r>
      <w:proofErr w:type="spellStart"/>
      <w:r w:rsidR="005545FE">
        <w:t>komparabilitas</w:t>
      </w:r>
      <w:proofErr w:type="spellEnd"/>
      <w:r w:rsidR="005545FE">
        <w:t xml:space="preserve">, </w:t>
      </w:r>
      <w:proofErr w:type="spellStart"/>
      <w:r w:rsidR="005545FE">
        <w:t>akurasi</w:t>
      </w:r>
      <w:proofErr w:type="spellEnd"/>
      <w:r w:rsidR="005545FE">
        <w:t xml:space="preserve">, </w:t>
      </w:r>
      <w:proofErr w:type="spellStart"/>
      <w:r w:rsidR="005545FE">
        <w:t>ketepatan</w:t>
      </w:r>
      <w:proofErr w:type="spellEnd"/>
      <w:r w:rsidR="005545FE">
        <w:t xml:space="preserve"> </w:t>
      </w:r>
      <w:proofErr w:type="spellStart"/>
      <w:r w:rsidR="005545FE">
        <w:t>waktu</w:t>
      </w:r>
      <w:proofErr w:type="spellEnd"/>
      <w:r w:rsidR="005545FE">
        <w:t xml:space="preserve">, </w:t>
      </w:r>
      <w:proofErr w:type="spellStart"/>
      <w:r w:rsidR="005545FE">
        <w:t>kejelasan</w:t>
      </w:r>
      <w:proofErr w:type="spellEnd"/>
      <w:r w:rsidR="005545FE">
        <w:t xml:space="preserve"> dan </w:t>
      </w:r>
      <w:proofErr w:type="spellStart"/>
      <w:r w:rsidR="005545FE">
        <w:t>keandalan</w:t>
      </w:r>
      <w:proofErr w:type="spellEnd"/>
      <w:r w:rsidR="005545FE">
        <w:t xml:space="preserve"> </w:t>
      </w:r>
      <w:proofErr w:type="spellStart"/>
      <w:r w:rsidR="005545FE">
        <w:t>dalam</w:t>
      </w:r>
      <w:proofErr w:type="spellEnd"/>
      <w:r w:rsidR="005545FE">
        <w:t xml:space="preserve"> </w:t>
      </w:r>
      <w:proofErr w:type="spellStart"/>
      <w:r w:rsidR="005545FE">
        <w:t>laporan</w:t>
      </w:r>
      <w:proofErr w:type="spellEnd"/>
      <w:r w:rsidR="005545FE">
        <w:t xml:space="preserve"> </w:t>
      </w:r>
      <w:proofErr w:type="spellStart"/>
      <w:r w:rsidR="005545FE">
        <w:t>keberlanjutan</w:t>
      </w:r>
      <w:proofErr w:type="spellEnd"/>
      <w:r w:rsidR="005545FE">
        <w:t>.</w:t>
      </w:r>
      <w:r w:rsidR="0044037C">
        <w:t xml:space="preserve"> </w:t>
      </w:r>
      <w:proofErr w:type="spellStart"/>
      <w:r w:rsidR="0044037C">
        <w:t>Berdasarkan</w:t>
      </w:r>
      <w:proofErr w:type="spellEnd"/>
      <w:r w:rsidR="0044037C">
        <w:t xml:space="preserve"> pada </w:t>
      </w:r>
      <w:proofErr w:type="spellStart"/>
      <w:r w:rsidR="0044037C">
        <w:t>teori</w:t>
      </w:r>
      <w:proofErr w:type="spellEnd"/>
      <w:r w:rsidR="0044037C">
        <w:t xml:space="preserve"> </w:t>
      </w:r>
      <w:proofErr w:type="spellStart"/>
      <w:r w:rsidR="0044037C">
        <w:t>legitimasi</w:t>
      </w:r>
      <w:proofErr w:type="spellEnd"/>
      <w:r w:rsidR="0044037C">
        <w:t xml:space="preserve">, </w:t>
      </w:r>
      <w:proofErr w:type="spellStart"/>
      <w:r w:rsidR="00E63D8D">
        <w:lastRenderedPageBreak/>
        <w:t>perusahaan</w:t>
      </w:r>
      <w:proofErr w:type="spellEnd"/>
      <w:r w:rsidR="00E63D8D">
        <w:t xml:space="preserve"> </w:t>
      </w:r>
      <w:proofErr w:type="spellStart"/>
      <w:r w:rsidR="00E63D8D">
        <w:t>perlu</w:t>
      </w:r>
      <w:proofErr w:type="spellEnd"/>
      <w:r w:rsidR="00E63D8D">
        <w:t xml:space="preserve"> </w:t>
      </w:r>
      <w:proofErr w:type="spellStart"/>
      <w:r w:rsidR="00E63D8D">
        <w:t>berperilaku</w:t>
      </w:r>
      <w:proofErr w:type="spellEnd"/>
      <w:r w:rsidR="00E63D8D">
        <w:t xml:space="preserve"> </w:t>
      </w:r>
      <w:proofErr w:type="spellStart"/>
      <w:r w:rsidR="00E63D8D">
        <w:t>sesuai</w:t>
      </w:r>
      <w:proofErr w:type="spellEnd"/>
      <w:r w:rsidR="00E63D8D">
        <w:t xml:space="preserve"> </w:t>
      </w:r>
      <w:proofErr w:type="spellStart"/>
      <w:r w:rsidR="00E63D8D">
        <w:t>dengan</w:t>
      </w:r>
      <w:proofErr w:type="spellEnd"/>
      <w:r w:rsidR="00E63D8D">
        <w:t xml:space="preserve"> yang </w:t>
      </w:r>
      <w:proofErr w:type="spellStart"/>
      <w:r w:rsidR="00E63D8D">
        <w:t>diharapkan</w:t>
      </w:r>
      <w:proofErr w:type="spellEnd"/>
      <w:r w:rsidR="00E63D8D">
        <w:t xml:space="preserve"> oleh </w:t>
      </w:r>
      <w:proofErr w:type="spellStart"/>
      <w:r w:rsidR="00E63D8D">
        <w:t>masyarakat</w:t>
      </w:r>
      <w:proofErr w:type="spellEnd"/>
      <w:r w:rsidR="00E63D8D">
        <w:t xml:space="preserve"> </w:t>
      </w:r>
      <w:proofErr w:type="spellStart"/>
      <w:r w:rsidR="00E63D8D">
        <w:t>atau</w:t>
      </w:r>
      <w:proofErr w:type="spellEnd"/>
      <w:r w:rsidR="00E63D8D">
        <w:t xml:space="preserve"> </w:t>
      </w:r>
      <w:proofErr w:type="spellStart"/>
      <w:r w:rsidR="00E63D8D">
        <w:t>pemangku</w:t>
      </w:r>
      <w:proofErr w:type="spellEnd"/>
      <w:r w:rsidR="00E63D8D">
        <w:t xml:space="preserve"> </w:t>
      </w:r>
      <w:proofErr w:type="spellStart"/>
      <w:r w:rsidR="00E63D8D">
        <w:t>kepentingan</w:t>
      </w:r>
      <w:proofErr w:type="spellEnd"/>
      <w:r w:rsidR="00E63D8D">
        <w:t xml:space="preserve"> </w:t>
      </w:r>
      <w:proofErr w:type="spellStart"/>
      <w:r w:rsidR="00E63D8D">
        <w:t>untuk</w:t>
      </w:r>
      <w:proofErr w:type="spellEnd"/>
      <w:r w:rsidR="00E63D8D">
        <w:t xml:space="preserve"> </w:t>
      </w:r>
      <w:proofErr w:type="spellStart"/>
      <w:r w:rsidR="00E63D8D">
        <w:t>mempertahankan</w:t>
      </w:r>
      <w:proofErr w:type="spellEnd"/>
      <w:r w:rsidR="00E63D8D">
        <w:t xml:space="preserve"> </w:t>
      </w:r>
      <w:proofErr w:type="spellStart"/>
      <w:r w:rsidR="00E63D8D">
        <w:t>reputasi</w:t>
      </w:r>
      <w:proofErr w:type="spellEnd"/>
      <w:r w:rsidR="00E63D8D">
        <w:t xml:space="preserve"> dan </w:t>
      </w:r>
      <w:proofErr w:type="spellStart"/>
      <w:r w:rsidR="00E63D8D">
        <w:t>kelangsungan</w:t>
      </w:r>
      <w:proofErr w:type="spellEnd"/>
      <w:r w:rsidR="00E63D8D">
        <w:t xml:space="preserve"> </w:t>
      </w:r>
      <w:proofErr w:type="spellStart"/>
      <w:r w:rsidR="00E63D8D">
        <w:t>bisnisnya</w:t>
      </w:r>
      <w:proofErr w:type="spellEnd"/>
      <w:r w:rsidR="00424D83">
        <w:t xml:space="preserve">. </w:t>
      </w:r>
      <w:proofErr w:type="spellStart"/>
      <w:r w:rsidR="00424D83">
        <w:t>Melalui</w:t>
      </w:r>
      <w:proofErr w:type="spellEnd"/>
      <w:r w:rsidR="00424D83">
        <w:t xml:space="preserve"> </w:t>
      </w:r>
      <w:proofErr w:type="spellStart"/>
      <w:r w:rsidR="00424D83">
        <w:t>pengungkapan</w:t>
      </w:r>
      <w:proofErr w:type="spellEnd"/>
      <w:r w:rsidR="00E63D8D">
        <w:t xml:space="preserve"> </w:t>
      </w:r>
      <w:proofErr w:type="spellStart"/>
      <w:r w:rsidR="00E63D8D">
        <w:t>informasi</w:t>
      </w:r>
      <w:proofErr w:type="spellEnd"/>
      <w:r w:rsidR="00E63D8D">
        <w:t xml:space="preserve"> </w:t>
      </w:r>
      <w:proofErr w:type="spellStart"/>
      <w:r w:rsidR="00E63D8D">
        <w:t>tanggung</w:t>
      </w:r>
      <w:proofErr w:type="spellEnd"/>
      <w:r w:rsidR="00E63D8D">
        <w:t xml:space="preserve"> </w:t>
      </w:r>
      <w:proofErr w:type="spellStart"/>
      <w:r w:rsidR="00E63D8D">
        <w:t>jawab</w:t>
      </w:r>
      <w:proofErr w:type="spellEnd"/>
      <w:r w:rsidR="00E63D8D">
        <w:t xml:space="preserve"> </w:t>
      </w:r>
      <w:proofErr w:type="spellStart"/>
      <w:r w:rsidR="00E63D8D">
        <w:t>sosial</w:t>
      </w:r>
      <w:proofErr w:type="spellEnd"/>
      <w:r w:rsidR="00E63D8D">
        <w:t xml:space="preserve"> </w:t>
      </w:r>
      <w:proofErr w:type="spellStart"/>
      <w:r w:rsidR="00E63D8D">
        <w:t>sebagai</w:t>
      </w:r>
      <w:proofErr w:type="spellEnd"/>
      <w:r w:rsidR="00E63D8D">
        <w:t xml:space="preserve"> </w:t>
      </w:r>
      <w:proofErr w:type="spellStart"/>
      <w:r w:rsidR="00E63D8D">
        <w:t>alat</w:t>
      </w:r>
      <w:proofErr w:type="spellEnd"/>
      <w:r w:rsidR="00E63D8D">
        <w:t xml:space="preserve"> </w:t>
      </w:r>
      <w:proofErr w:type="spellStart"/>
      <w:r w:rsidR="00E63D8D">
        <w:t>legitimasi</w:t>
      </w:r>
      <w:proofErr w:type="spellEnd"/>
      <w:r w:rsidR="00E63D8D">
        <w:t xml:space="preserve"> dan </w:t>
      </w:r>
      <w:proofErr w:type="spellStart"/>
      <w:r w:rsidR="00E63D8D">
        <w:t>menggunakan</w:t>
      </w:r>
      <w:proofErr w:type="spellEnd"/>
      <w:r w:rsidR="00E63D8D">
        <w:t xml:space="preserve"> </w:t>
      </w:r>
      <w:proofErr w:type="spellStart"/>
      <w:r w:rsidR="00E63D8D">
        <w:t>dokumen</w:t>
      </w:r>
      <w:proofErr w:type="spellEnd"/>
      <w:r w:rsidR="00E63D8D">
        <w:t xml:space="preserve"> </w:t>
      </w:r>
      <w:proofErr w:type="spellStart"/>
      <w:r w:rsidR="00E63D8D">
        <w:t>tersebut</w:t>
      </w:r>
      <w:proofErr w:type="spellEnd"/>
      <w:r w:rsidR="00E63D8D">
        <w:t xml:space="preserve"> </w:t>
      </w:r>
      <w:proofErr w:type="spellStart"/>
      <w:r w:rsidR="00E63D8D">
        <w:t>untuk</w:t>
      </w:r>
      <w:proofErr w:type="spellEnd"/>
      <w:r w:rsidR="00E63D8D">
        <w:t xml:space="preserve"> </w:t>
      </w:r>
      <w:proofErr w:type="spellStart"/>
      <w:r w:rsidR="00E63D8D">
        <w:t>mengubah</w:t>
      </w:r>
      <w:proofErr w:type="spellEnd"/>
      <w:r w:rsidR="00E63D8D">
        <w:t xml:space="preserve"> </w:t>
      </w:r>
      <w:proofErr w:type="spellStart"/>
      <w:r w:rsidR="00E63D8D">
        <w:t>persepsi</w:t>
      </w:r>
      <w:proofErr w:type="spellEnd"/>
      <w:r w:rsidR="00E63D8D">
        <w:t xml:space="preserve"> </w:t>
      </w:r>
      <w:proofErr w:type="spellStart"/>
      <w:r w:rsidR="00E63D8D">
        <w:t>masyaraka</w:t>
      </w:r>
      <w:r w:rsidR="00424D83">
        <w:t>t</w:t>
      </w:r>
      <w:proofErr w:type="spellEnd"/>
      <w:r w:rsidR="00E63D8D">
        <w:t xml:space="preserve"> </w:t>
      </w:r>
      <w:r w:rsidR="00E63D8D">
        <w:fldChar w:fldCharType="begin" w:fldLock="1"/>
      </w:r>
      <w:r w:rsidR="00C100C1">
        <w:instrText>ADDIN CSL_CITATION {"citationItems":[{"id":"ITEM-1","itemData":{"DOI":"10.1108/09513570210435852","ISBN":"0951357021043","ISSN":"09513574","abstract":"This paper serves as an introduction to this special issue of Accounting, Auditing &amp; Accountability Journal; an issue which embraces themes associated with social and environmental reporting (SAR) and its role in maintaining or creating organisational legitimacy. In an effort to place this research in context the paper begins by making reference to contemporary trends occurring in social and environmental accounting research generally, and this is then followed by an overview of some of the many research questions which are currently being addressed in the area. Understanding motivations for disclosure is shown to be one of the issues attracting considerable research attention, and the desire to legitimise an organisation's operations is in turn shown to be one of the many possible motivations. The role of legitimacy theory in explaining managers’ decisions is then discussed and it is emphasised that legitimacy theory, as it is currently used, must still be considered to be a relatively under-developed theory of managerial behaviour. Nevertheless, it is argued that the theory provides useful insights. Finally, the paper indicates how the other papers in this issue of AAAJ contribute to the ongoing development of legitimacy theory in SAR research. © 2002, MCB UP Limited","author":[{"dropping-particle":"","family":"Deegan","given":"Craig","non-dropping-particle":"","parse-names":false,"suffix":""}],"container-title":"Accounting, Auditing &amp; Accountability Journal","id":"ITEM-1","issue":"3","issued":{"date-parts":[["2002"]]},"page":"282-311","title":"Introduction: The legitimising effect of social and environmental disclosures – a theoretical foundation","type":"article-journal","volume":"15"},"uris":["http://www.mendeley.com/documents/?uuid=de491be7-78c1-4981-8623-e23542e31267"]},{"id":"ITEM-2","itemData":{"DOI":"10.1287/orsc.1090.0494","ISSN":"10477039","abstract":"We study institutional entrepreneurship in an emergent field by analyzing the case of the Global Reporting Initiative (GRI) and its efforts to purposefully institutionalize the practice of sustainability reporting. We suggest that analogies affect institutionalization processes through two mechanisms. In the early stages of institutionalization, analogy operates primarily as a normative mechanism, and adoption is driven mainly by an instrumental logic. This emphasis on similarity to existing institutions stresses conformity and promotes legitimacy. Yet analogies can also have a cognitive effect on institutional design, especially once initial acceptance from the environment has been secured, by directing attention toward incongruences between the emergent institution and its analogical source. Institutional entrepreneurship can spur innovation and departure from existing institutions by highlighting limitations of the analogical source and providing a compelling value-rational argument that underscores the worth of the new institution. This theoretical contribution helps explain how analogies to existing institutional practices can both provide legitimacy to novel institutions and constitute the basis for a creative process of institutional design. © 2010 INFORMS.","author":[{"dropping-particle":"","family":"Etzion","given":"Dror","non-dropping-particle":"","parse-names":false,"suffix":""},{"dropping-particle":"","family":"Ferraro","given":"Fabrizio","non-dropping-particle":"","parse-names":false,"suffix":""}],"container-title":"Organization Science","id":"ITEM-2","issue":"5","issued":{"date-parts":[["2010"]]},"page":"1092-1107","title":"The role of analogy in the institutionalization of sustainability reporting","type":"article-journal","volume":"21"},"uris":["http://www.mendeley.com/documents/?uuid=396d4494-d934-4766-a36c-d308917db67f"]}],"mendeley":{"formattedCitation":"(Deegan, 2002; Etzion &amp; Ferraro, 2010)","plainTextFormattedCitation":"(Deegan, 2002; Etzion &amp; Ferraro, 2010)","previouslyFormattedCitation":"(Deegan, 2002; Etzion &amp; Ferraro, 2010)"},"properties":{"noteIndex":0},"schema":"https://github.com/citation-style-language/schema/raw/master/csl-citation.json"}</w:instrText>
      </w:r>
      <w:r w:rsidR="00E63D8D">
        <w:fldChar w:fldCharType="separate"/>
      </w:r>
      <w:r w:rsidR="00E63D8D" w:rsidRPr="00E63D8D">
        <w:rPr>
          <w:noProof/>
        </w:rPr>
        <w:t>(Deegan, 2002; Etzion &amp; Ferraro, 2010)</w:t>
      </w:r>
      <w:r w:rsidR="00E63D8D">
        <w:fldChar w:fldCharType="end"/>
      </w:r>
      <w:r w:rsidR="00E63D8D">
        <w:t>.</w:t>
      </w:r>
      <w:r w:rsidR="00EA2446">
        <w:t xml:space="preserve"> </w:t>
      </w:r>
    </w:p>
    <w:p w14:paraId="68670E70" w14:textId="3D9C5E74" w:rsidR="005545FE" w:rsidRDefault="005545FE" w:rsidP="00590286">
      <w:pPr>
        <w:pStyle w:val="BodyText"/>
        <w:spacing w:before="1" w:line="276" w:lineRule="auto"/>
        <w:ind w:left="277" w:right="138" w:firstLine="7"/>
        <w:jc w:val="both"/>
      </w:pPr>
      <w:r>
        <w:tab/>
      </w:r>
      <w:proofErr w:type="spellStart"/>
      <w:r>
        <w:t>Reputasi</w:t>
      </w:r>
      <w:proofErr w:type="spellEnd"/>
      <w:r>
        <w:t xml:space="preserve"> </w:t>
      </w:r>
      <w:proofErr w:type="spellStart"/>
      <w:r>
        <w:t>perusahaan</w:t>
      </w:r>
      <w:proofErr w:type="spellEnd"/>
      <w:r>
        <w:t xml:space="preserve"> di </w:t>
      </w:r>
      <w:proofErr w:type="spellStart"/>
      <w:r>
        <w:t>sektor</w:t>
      </w:r>
      <w:proofErr w:type="spellEnd"/>
      <w:r>
        <w:t xml:space="preserve"> </w:t>
      </w:r>
      <w:proofErr w:type="spellStart"/>
      <w:r>
        <w:t>perbankan</w:t>
      </w:r>
      <w:proofErr w:type="spellEnd"/>
      <w:r>
        <w:t xml:space="preserve"> </w:t>
      </w:r>
      <w:proofErr w:type="spellStart"/>
      <w:r>
        <w:t>berbeda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dibandingkan</w:t>
      </w:r>
      <w:proofErr w:type="spellEnd"/>
      <w:r>
        <w:t xml:space="preserve"> </w:t>
      </w:r>
      <w:proofErr w:type="spellStart"/>
      <w:r>
        <w:t>dengan</w:t>
      </w:r>
      <w:proofErr w:type="spellEnd"/>
      <w:r>
        <w:t xml:space="preserve"> di </w:t>
      </w:r>
      <w:proofErr w:type="spellStart"/>
      <w:r>
        <w:t>sektor</w:t>
      </w:r>
      <w:proofErr w:type="spellEnd"/>
      <w:r>
        <w:t xml:space="preserve"> </w:t>
      </w:r>
      <w:proofErr w:type="spellStart"/>
      <w:r>
        <w:t>lainnya</w:t>
      </w:r>
      <w:proofErr w:type="spellEnd"/>
      <w:r>
        <w:t xml:space="preserve"> </w:t>
      </w:r>
      <w:proofErr w:type="spellStart"/>
      <w:r>
        <w:t>dikarenakan</w:t>
      </w:r>
      <w:proofErr w:type="spellEnd"/>
      <w:r>
        <w:t xml:space="preserve"> </w:t>
      </w:r>
      <w:proofErr w:type="spellStart"/>
      <w:r>
        <w:t>terikat</w:t>
      </w:r>
      <w:proofErr w:type="spellEnd"/>
      <w:r>
        <w:t xml:space="preserve"> </w:t>
      </w:r>
      <w:proofErr w:type="spellStart"/>
      <w:r>
        <w:t>dengan</w:t>
      </w:r>
      <w:proofErr w:type="spellEnd"/>
      <w:r>
        <w:t xml:space="preserve"> </w:t>
      </w:r>
      <w:proofErr w:type="spellStart"/>
      <w:r>
        <w:t>tekanan</w:t>
      </w:r>
      <w:proofErr w:type="spellEnd"/>
      <w:r>
        <w:t xml:space="preserve"> </w:t>
      </w:r>
      <w:proofErr w:type="spellStart"/>
      <w:r>
        <w:t>kelembagaan</w:t>
      </w:r>
      <w:proofErr w:type="spellEnd"/>
      <w:r>
        <w:t xml:space="preserve">, </w:t>
      </w:r>
      <w:proofErr w:type="spellStart"/>
      <w:r>
        <w:t>kondisi</w:t>
      </w:r>
      <w:proofErr w:type="spellEnd"/>
      <w:r>
        <w:t xml:space="preserve"> </w:t>
      </w:r>
      <w:proofErr w:type="spellStart"/>
      <w:r>
        <w:t>persaingan</w:t>
      </w:r>
      <w:proofErr w:type="spellEnd"/>
      <w:r>
        <w:t xml:space="preserve"> yang </w:t>
      </w:r>
      <w:proofErr w:type="spellStart"/>
      <w:r>
        <w:t>ketat</w:t>
      </w:r>
      <w:proofErr w:type="spellEnd"/>
      <w:r>
        <w:t xml:space="preserve"> dan </w:t>
      </w:r>
      <w:proofErr w:type="spellStart"/>
      <w:r>
        <w:t>tingkat</w:t>
      </w:r>
      <w:proofErr w:type="spellEnd"/>
      <w:r>
        <w:t xml:space="preserve"> </w:t>
      </w:r>
      <w:proofErr w:type="spellStart"/>
      <w:r>
        <w:t>kepercayaan</w:t>
      </w:r>
      <w:proofErr w:type="spellEnd"/>
      <w:r>
        <w:t xml:space="preserve"> </w:t>
      </w:r>
      <w:proofErr w:type="spellStart"/>
      <w:r>
        <w:t>masyarakat</w:t>
      </w:r>
      <w:proofErr w:type="spellEnd"/>
      <w:r>
        <w:t xml:space="preserve"> </w:t>
      </w:r>
      <w:r>
        <w:fldChar w:fldCharType="begin" w:fldLock="1"/>
      </w:r>
      <w:r w:rsidR="00C100C1">
        <w:instrText>ADDIN CSL_CITATION {"citationItems":[{"id":"ITEM-1","itemData":{"DOI":"10.1016/j.jretconser.2021.102552","ISSN":"09696989","abstract":"Theoretical studies form the core of the literature on the relationship between corporate social responsibility (CSR) and bank reputation, with few empirical applications discussing the validity of these theoretical proposals. Additionally, the evidence for the links between CSR aspects and bank reputation is inconclusive. This study aims to shed light on the impact of CSR on bank reputation. First, a systematic review of the literature on the empirical studies that relates CSR to bank reputation is performed. These studies indicate significant discrepancies in the measurement of CSR and its links with bank reputation. Second, an empirical study is presented in order to test the impact that CSR (employer branding, integrity and social action) has on the reputation of leading banks in the United Kingdom and Spain. The results obtained call into question the ability of CSR to improve a banking reputation in an unstable financial system.","author":[{"dropping-particle":"","family":"Ruiz","given":"Belén","non-dropping-particle":"","parse-names":false,"suffix":""},{"dropping-particle":"","family":"García","given":"Juan A.","non-dropping-particle":"","parse-names":false,"suffix":""}],"container-title":"Journal of Retailing and Consumer Services","id":"ITEM-1","issue":"February","issued":{"date-parts":[["2021"]]},"title":"Analyzing the relationship between CSR and reputation in the banking sector","type":"article-journal","volume":"61"},"uris":["http://www.mendeley.com/documents/?uuid=769e6c7b-a7f6-4181-b84e-2b2ca97aed1c"]}],"mendeley":{"formattedCitation":"(Ruiz &amp; García, 2021)","plainTextFormattedCitation":"(Ruiz &amp; García, 2021)","previouslyFormattedCitation":"(Ruiz &amp; García, 2021)"},"properties":{"noteIndex":0},"schema":"https://github.com/citation-style-language/schema/raw/master/csl-citation.json"}</w:instrText>
      </w:r>
      <w:r>
        <w:fldChar w:fldCharType="separate"/>
      </w:r>
      <w:r w:rsidRPr="005545FE">
        <w:rPr>
          <w:noProof/>
        </w:rPr>
        <w:t>(Ruiz &amp; García, 2021)</w:t>
      </w:r>
      <w:r>
        <w:fldChar w:fldCharType="end"/>
      </w:r>
      <w:r>
        <w:t xml:space="preserve">.  </w:t>
      </w:r>
      <w:r w:rsidR="00DB468F">
        <w:t xml:space="preserve">Perusahaan di </w:t>
      </w:r>
      <w:proofErr w:type="spellStart"/>
      <w:r w:rsidR="00DB468F">
        <w:t>sektor</w:t>
      </w:r>
      <w:proofErr w:type="spellEnd"/>
      <w:r w:rsidR="00DB468F">
        <w:t xml:space="preserve"> </w:t>
      </w:r>
      <w:proofErr w:type="spellStart"/>
      <w:r w:rsidR="00DB468F">
        <w:t>perbankan</w:t>
      </w:r>
      <w:proofErr w:type="spellEnd"/>
      <w:r w:rsidR="00DB468F">
        <w:t xml:space="preserve"> </w:t>
      </w:r>
      <w:proofErr w:type="spellStart"/>
      <w:r w:rsidR="00DB468F">
        <w:t>ikut</w:t>
      </w:r>
      <w:proofErr w:type="spellEnd"/>
      <w:r w:rsidR="00DB468F">
        <w:t xml:space="preserve"> </w:t>
      </w:r>
      <w:proofErr w:type="spellStart"/>
      <w:r w:rsidR="00DB468F">
        <w:t>andil</w:t>
      </w:r>
      <w:proofErr w:type="spellEnd"/>
      <w:r w:rsidR="00DB468F">
        <w:t xml:space="preserve"> </w:t>
      </w:r>
      <w:proofErr w:type="spellStart"/>
      <w:r w:rsidR="00DB468F">
        <w:t>terhadap</w:t>
      </w:r>
      <w:proofErr w:type="spellEnd"/>
      <w:r w:rsidR="00DB468F">
        <w:t xml:space="preserve"> </w:t>
      </w:r>
      <w:proofErr w:type="spellStart"/>
      <w:r w:rsidR="00DB468F">
        <w:t>praktik</w:t>
      </w:r>
      <w:proofErr w:type="spellEnd"/>
      <w:r w:rsidR="00DB468F">
        <w:t xml:space="preserve"> </w:t>
      </w:r>
      <w:proofErr w:type="spellStart"/>
      <w:r w:rsidR="00DB468F">
        <w:t>pengungkapan</w:t>
      </w:r>
      <w:proofErr w:type="spellEnd"/>
      <w:r w:rsidR="00DB468F">
        <w:t xml:space="preserve"> </w:t>
      </w:r>
      <w:proofErr w:type="spellStart"/>
      <w:r w:rsidR="00DB468F">
        <w:t>tanggung</w:t>
      </w:r>
      <w:proofErr w:type="spellEnd"/>
      <w:r w:rsidR="00DB468F">
        <w:t xml:space="preserve"> </w:t>
      </w:r>
      <w:proofErr w:type="spellStart"/>
      <w:r w:rsidR="00DB468F">
        <w:t>jawab</w:t>
      </w:r>
      <w:proofErr w:type="spellEnd"/>
      <w:r w:rsidR="00DB468F">
        <w:t xml:space="preserve"> </w:t>
      </w:r>
      <w:proofErr w:type="spellStart"/>
      <w:r w:rsidR="00DB468F">
        <w:t>sosial</w:t>
      </w:r>
      <w:proofErr w:type="spellEnd"/>
      <w:r w:rsidR="00DB468F">
        <w:t xml:space="preserve">. Hal </w:t>
      </w:r>
      <w:proofErr w:type="spellStart"/>
      <w:r w:rsidR="00DB468F">
        <w:t>ini</w:t>
      </w:r>
      <w:proofErr w:type="spellEnd"/>
      <w:r w:rsidR="00DB468F">
        <w:t xml:space="preserve"> </w:t>
      </w:r>
      <w:proofErr w:type="spellStart"/>
      <w:r w:rsidR="00DB468F">
        <w:t>didasarkan</w:t>
      </w:r>
      <w:proofErr w:type="spellEnd"/>
      <w:r w:rsidR="00DB468F">
        <w:t xml:space="preserve"> </w:t>
      </w:r>
      <w:proofErr w:type="spellStart"/>
      <w:r w:rsidR="00DB468F">
        <w:t>bahwa</w:t>
      </w:r>
      <w:proofErr w:type="spellEnd"/>
      <w:r w:rsidR="00DB468F">
        <w:t xml:space="preserve"> </w:t>
      </w:r>
      <w:proofErr w:type="spellStart"/>
      <w:r w:rsidR="00DB468F">
        <w:t>perbankan</w:t>
      </w:r>
      <w:proofErr w:type="spellEnd"/>
      <w:r w:rsidR="00DB468F">
        <w:t xml:space="preserve"> </w:t>
      </w:r>
      <w:proofErr w:type="spellStart"/>
      <w:r w:rsidR="00DB468F">
        <w:t>sebagai</w:t>
      </w:r>
      <w:proofErr w:type="spellEnd"/>
      <w:r w:rsidR="00DB468F">
        <w:t xml:space="preserve"> salah </w:t>
      </w:r>
      <w:proofErr w:type="spellStart"/>
      <w:r w:rsidR="00DB468F">
        <w:t>sa</w:t>
      </w:r>
      <w:r w:rsidR="00424D83">
        <w:t>tu</w:t>
      </w:r>
      <w:proofErr w:type="spellEnd"/>
      <w:r w:rsidR="00424D83">
        <w:t xml:space="preserve"> </w:t>
      </w:r>
      <w:proofErr w:type="spellStart"/>
      <w:r w:rsidR="00424D83">
        <w:t>s</w:t>
      </w:r>
      <w:r w:rsidR="00DB468F">
        <w:t>umber</w:t>
      </w:r>
      <w:proofErr w:type="spellEnd"/>
      <w:r w:rsidR="00DB468F">
        <w:t xml:space="preserve"> </w:t>
      </w:r>
      <w:proofErr w:type="spellStart"/>
      <w:r w:rsidR="00DB468F">
        <w:t>pendanaan</w:t>
      </w:r>
      <w:proofErr w:type="spellEnd"/>
      <w:r w:rsidR="00DB468F">
        <w:t xml:space="preserve"> </w:t>
      </w:r>
      <w:proofErr w:type="spellStart"/>
      <w:r w:rsidR="00DB468F">
        <w:t>perlu</w:t>
      </w:r>
      <w:proofErr w:type="spellEnd"/>
      <w:r w:rsidR="00DB468F">
        <w:t xml:space="preserve"> </w:t>
      </w:r>
      <w:proofErr w:type="spellStart"/>
      <w:r w:rsidR="00DB468F">
        <w:t>memperhatikan</w:t>
      </w:r>
      <w:proofErr w:type="spellEnd"/>
      <w:r w:rsidR="00DB468F">
        <w:t xml:space="preserve"> </w:t>
      </w:r>
      <w:proofErr w:type="spellStart"/>
      <w:r w:rsidR="00DB468F">
        <w:t>upaya</w:t>
      </w:r>
      <w:proofErr w:type="spellEnd"/>
      <w:r w:rsidR="00DB468F">
        <w:t xml:space="preserve"> yang </w:t>
      </w:r>
      <w:proofErr w:type="spellStart"/>
      <w:r w:rsidR="00DB468F">
        <w:t>dilakukan</w:t>
      </w:r>
      <w:proofErr w:type="spellEnd"/>
      <w:r w:rsidR="00DB468F">
        <w:t xml:space="preserve"> oleh </w:t>
      </w:r>
      <w:proofErr w:type="spellStart"/>
      <w:r w:rsidR="00DB468F">
        <w:t>debitur</w:t>
      </w:r>
      <w:proofErr w:type="spellEnd"/>
      <w:r w:rsidR="00DB468F">
        <w:t xml:space="preserve"> </w:t>
      </w:r>
      <w:proofErr w:type="spellStart"/>
      <w:r w:rsidR="00DB468F">
        <w:t>dalam</w:t>
      </w:r>
      <w:proofErr w:type="spellEnd"/>
      <w:r w:rsidR="00DB468F">
        <w:t xml:space="preserve"> </w:t>
      </w:r>
      <w:proofErr w:type="spellStart"/>
      <w:r w:rsidR="00DB468F">
        <w:t>memelihara</w:t>
      </w:r>
      <w:proofErr w:type="spellEnd"/>
      <w:r w:rsidR="00DB468F">
        <w:t xml:space="preserve"> </w:t>
      </w:r>
      <w:proofErr w:type="spellStart"/>
      <w:r w:rsidR="00DB468F">
        <w:t>lingkungan</w:t>
      </w:r>
      <w:proofErr w:type="spellEnd"/>
      <w:r w:rsidR="00DB468F">
        <w:t xml:space="preserve"> yang </w:t>
      </w:r>
      <w:proofErr w:type="spellStart"/>
      <w:r w:rsidR="00DB468F">
        <w:t>terdampak</w:t>
      </w:r>
      <w:proofErr w:type="spellEnd"/>
      <w:r w:rsidR="00DB468F">
        <w:t xml:space="preserve"> oleh </w:t>
      </w:r>
      <w:proofErr w:type="spellStart"/>
      <w:r w:rsidR="00DB468F">
        <w:t>aktivitas</w:t>
      </w:r>
      <w:proofErr w:type="spellEnd"/>
      <w:r w:rsidR="00DB468F">
        <w:t xml:space="preserve"> </w:t>
      </w:r>
      <w:proofErr w:type="spellStart"/>
      <w:r w:rsidR="00DB468F">
        <w:t>operasi</w:t>
      </w:r>
      <w:proofErr w:type="spellEnd"/>
      <w:r w:rsidR="00DB468F">
        <w:t xml:space="preserve"> </w:t>
      </w:r>
      <w:proofErr w:type="spellStart"/>
      <w:r w:rsidR="00DB468F">
        <w:t>perusahaan</w:t>
      </w:r>
      <w:proofErr w:type="spellEnd"/>
      <w:r w:rsidR="00DB468F">
        <w:t xml:space="preserve">. </w:t>
      </w:r>
      <w:proofErr w:type="spellStart"/>
      <w:r w:rsidR="00DB468F">
        <w:t>Pihak</w:t>
      </w:r>
      <w:proofErr w:type="spellEnd"/>
      <w:r w:rsidR="00DB468F">
        <w:t xml:space="preserve"> Bank juga </w:t>
      </w:r>
      <w:proofErr w:type="spellStart"/>
      <w:r w:rsidR="00DB468F">
        <w:t>perlu</w:t>
      </w:r>
      <w:proofErr w:type="spellEnd"/>
      <w:r w:rsidR="00DB468F">
        <w:t xml:space="preserve"> </w:t>
      </w:r>
      <w:proofErr w:type="spellStart"/>
      <w:r w:rsidR="00DB468F">
        <w:t>memperhatikan</w:t>
      </w:r>
      <w:proofErr w:type="spellEnd"/>
      <w:r w:rsidR="00DB468F">
        <w:t xml:space="preserve"> </w:t>
      </w:r>
      <w:proofErr w:type="spellStart"/>
      <w:r w:rsidR="00DB468F">
        <w:t>hasil</w:t>
      </w:r>
      <w:proofErr w:type="spellEnd"/>
      <w:r w:rsidR="00DB468F">
        <w:t xml:space="preserve"> Program </w:t>
      </w:r>
      <w:proofErr w:type="spellStart"/>
      <w:r w:rsidR="00DB468F">
        <w:t>Peringkat</w:t>
      </w:r>
      <w:proofErr w:type="spellEnd"/>
      <w:r w:rsidR="00DB468F">
        <w:t xml:space="preserve"> Kinerja Perusahaan (Proper) </w:t>
      </w:r>
      <w:proofErr w:type="spellStart"/>
      <w:r w:rsidR="00DB468F">
        <w:t>untuk</w:t>
      </w:r>
      <w:proofErr w:type="spellEnd"/>
      <w:r w:rsidR="00DB468F">
        <w:t xml:space="preserve"> </w:t>
      </w:r>
      <w:proofErr w:type="spellStart"/>
      <w:r w:rsidR="00DB468F">
        <w:t>menilai</w:t>
      </w:r>
      <w:proofErr w:type="spellEnd"/>
      <w:r w:rsidR="00DB468F">
        <w:t xml:space="preserve"> </w:t>
      </w:r>
      <w:proofErr w:type="spellStart"/>
      <w:r w:rsidR="00DB468F">
        <w:t>kualitas</w:t>
      </w:r>
      <w:proofErr w:type="spellEnd"/>
      <w:r w:rsidR="00DB468F">
        <w:t xml:space="preserve"> </w:t>
      </w:r>
      <w:proofErr w:type="spellStart"/>
      <w:r w:rsidR="00DB468F">
        <w:t>maupun</w:t>
      </w:r>
      <w:proofErr w:type="spellEnd"/>
      <w:r w:rsidR="00DB468F">
        <w:t xml:space="preserve"> </w:t>
      </w:r>
      <w:proofErr w:type="spellStart"/>
      <w:r w:rsidR="00DB468F">
        <w:t>mempertimbangkan</w:t>
      </w:r>
      <w:proofErr w:type="spellEnd"/>
      <w:r w:rsidR="00DB468F">
        <w:t xml:space="preserve"> </w:t>
      </w:r>
      <w:proofErr w:type="spellStart"/>
      <w:r w:rsidR="00DB468F">
        <w:t>permohonan</w:t>
      </w:r>
      <w:proofErr w:type="spellEnd"/>
      <w:r w:rsidR="00DB468F">
        <w:t xml:space="preserve"> </w:t>
      </w:r>
      <w:proofErr w:type="spellStart"/>
      <w:r w:rsidR="00DB468F">
        <w:t>perusahaan</w:t>
      </w:r>
      <w:proofErr w:type="spellEnd"/>
      <w:r w:rsidR="00DB468F">
        <w:t xml:space="preserve"> yang </w:t>
      </w:r>
      <w:proofErr w:type="spellStart"/>
      <w:r w:rsidR="00DB468F">
        <w:t>akan</w:t>
      </w:r>
      <w:proofErr w:type="spellEnd"/>
      <w:r w:rsidR="00DB468F">
        <w:t xml:space="preserve"> </w:t>
      </w:r>
      <w:proofErr w:type="spellStart"/>
      <w:r w:rsidR="00DB468F">
        <w:t>menjadi</w:t>
      </w:r>
      <w:proofErr w:type="spellEnd"/>
      <w:r w:rsidR="00DB468F">
        <w:t xml:space="preserve"> </w:t>
      </w:r>
      <w:proofErr w:type="spellStart"/>
      <w:r w:rsidR="00DB468F">
        <w:t>calon</w:t>
      </w:r>
      <w:proofErr w:type="spellEnd"/>
      <w:r w:rsidR="00DB468F">
        <w:t xml:space="preserve"> </w:t>
      </w:r>
      <w:proofErr w:type="spellStart"/>
      <w:r w:rsidR="00DB468F">
        <w:t>debiturnya</w:t>
      </w:r>
      <w:proofErr w:type="spellEnd"/>
      <w:r w:rsidR="00DB468F">
        <w:t xml:space="preserve"> </w:t>
      </w:r>
      <w:r w:rsidR="00DB468F">
        <w:fldChar w:fldCharType="begin" w:fldLock="1"/>
      </w:r>
      <w:r w:rsidR="00C100C1">
        <w:instrText>ADDIN CSL_CITATION {"citationItems":[{"id":"ITEM-1","itemData":{"author":[{"dropping-particle":"","family":"ALiada","given":"Reza Adita","non-dropping-particle":"","parse-names":false,"suffix":""},{"dropping-particle":"","family":"Herwiyanti","given":"Eliada","non-dropping-particle":"","parse-names":false,"suffix":""},{"dropping-particle":"","family":"S","given":"Kiki","non-dropping-particle":"","parse-names":false,"suffix":""}],"id":"ITEM-1","issue":"1","issued":{"date-parts":[["2019"]]},"page":"49-64","title":"Peran Mediasi Reputasi Pada Hubungan Pengungkapan Csr","type":"article-journal","volume":"23"},"uris":["http://www.mendeley.com/documents/?uuid=422f9788-df04-4e46-a321-e9a4ecb0fd25"]}],"mendeley":{"formattedCitation":"(ALiada, Herwiyanti, &amp; S, 2019)","plainTextFormattedCitation":"(ALiada, Herwiyanti, &amp; S, 2019)","previouslyFormattedCitation":"(ALiada, Herwiyanti, &amp; S, 2019)"},"properties":{"noteIndex":0},"schema":"https://github.com/citation-style-language/schema/raw/master/csl-citation.json"}</w:instrText>
      </w:r>
      <w:r w:rsidR="00DB468F">
        <w:fldChar w:fldCharType="separate"/>
      </w:r>
      <w:r w:rsidR="00DB468F" w:rsidRPr="00DB468F">
        <w:rPr>
          <w:noProof/>
        </w:rPr>
        <w:t>(ALiada, Herwiyanti, &amp; S, 2019)</w:t>
      </w:r>
      <w:r w:rsidR="00DB468F">
        <w:fldChar w:fldCharType="end"/>
      </w:r>
      <w:r w:rsidR="00DB468F">
        <w:t>.</w:t>
      </w:r>
    </w:p>
    <w:p w14:paraId="4F32A94B" w14:textId="24EE5D44" w:rsidR="00F137A1" w:rsidRDefault="00F137A1" w:rsidP="00590286">
      <w:pPr>
        <w:pStyle w:val="BodyText"/>
        <w:spacing w:before="1" w:line="276" w:lineRule="auto"/>
        <w:ind w:left="277" w:right="138" w:firstLine="7"/>
        <w:jc w:val="both"/>
      </w:pPr>
      <w:r>
        <w:tab/>
      </w:r>
      <w:proofErr w:type="spellStart"/>
      <w:r>
        <w:t>Berdasarkan</w:t>
      </w:r>
      <w:proofErr w:type="spellEnd"/>
      <w:r>
        <w:t xml:space="preserve"> pada </w:t>
      </w:r>
      <w:proofErr w:type="spellStart"/>
      <w:r>
        <w:t>tinjauan</w:t>
      </w:r>
      <w:proofErr w:type="spellEnd"/>
      <w:r>
        <w:t xml:space="preserve"> </w:t>
      </w:r>
      <w:proofErr w:type="spellStart"/>
      <w:r>
        <w:t>literatur</w:t>
      </w:r>
      <w:proofErr w:type="spellEnd"/>
      <w:r>
        <w:t xml:space="preserve"> </w:t>
      </w:r>
      <w:proofErr w:type="spellStart"/>
      <w:r>
        <w:t>dengan</w:t>
      </w:r>
      <w:proofErr w:type="spellEnd"/>
      <w:r>
        <w:t xml:space="preserve"> </w:t>
      </w:r>
      <w:proofErr w:type="spellStart"/>
      <w:r>
        <w:t>latar</w:t>
      </w:r>
      <w:proofErr w:type="spellEnd"/>
      <w:r>
        <w:t xml:space="preserve"> </w:t>
      </w:r>
      <w:proofErr w:type="spellStart"/>
      <w:r>
        <w:t>penelitian</w:t>
      </w:r>
      <w:proofErr w:type="spellEnd"/>
      <w:r>
        <w:t xml:space="preserve"> di negara </w:t>
      </w:r>
      <w:proofErr w:type="spellStart"/>
      <w:r>
        <w:t>maju</w:t>
      </w:r>
      <w:proofErr w:type="spellEnd"/>
      <w:r w:rsidR="00C167A2">
        <w:t xml:space="preserve"> </w:t>
      </w:r>
      <w:r w:rsidR="00C167A2">
        <w:fldChar w:fldCharType="begin" w:fldLock="1"/>
      </w:r>
      <w:r w:rsidR="00C100C1">
        <w:instrText>ADDIN CSL_CITATION {"citationItems":[{"id":"ITEM-1","itemData":{"DOI":"10.1111/j.1835-2561.2012.00187.x","ISSN":"10356908","abstract":"This paper investigates the relationship between firm value and the quality of Australian listed corporations' sustainability reporting. We examine whether firms that make higher-quality sustainability disclosures exhibit systematically higher equity prices, through either (or both) cost of capital or expected future performance effects. Using proprietary data obtained from a specialist responsible investment research firm, we document a significant negative association between quality sustainability reporting and the cost of equity capital for ASX 200 firms from 2003-2005, and a significant positive association between expected future performance and the quality of sustainability reporting. We also test for industry-specific associations and find that our main results are driven heavily by the reporting behaviour of, and market response to, firms in environmentally sensitive industries. © 2013 CPA Australia.","author":[{"dropping-particle":"","family":"Bachoo","given":"Kaveen","non-dropping-particle":"","parse-names":false,"suffix":""},{"dropping-particle":"","family":"Tan","given":"Rebecca","non-dropping-particle":"","parse-names":false,"suffix":""},{"dropping-particle":"","family":"Wilson","given":"Mark","non-dropping-particle":"","parse-names":false,"suffix":""}],"container-title":"Australian Accounting Review","id":"ITEM-1","issue":"1","issued":{"date-parts":[["2013"]]},"page":"67-87","title":"Firm Value and the Quality of Sustainability Reporting in Australia","type":"article-journal","volume":"23"},"uris":["http://www.mendeley.com/documents/?uuid=1617b323-15d1-48ae-b675-7db636bb125f"]},{"id":"ITEM-2","itemData":{"DOI":"10.1016/j.ribaf.2016.07.020","ISSN":"0275-5319","author":[{"dropping-particle":"","family":"Bona-sánchez","given":"Carolina","non-dropping-particle":"","parse-names":false,"suffix":""},{"dropping-particle":"","family":"Pérez-alemán","given":"Jerónimo","non-dropping-particle":"","parse-names":false,"suffix":""},{"dropping-particle":"","family":"Santana-martin","given":"Domingo J","non-dropping-particle":"","parse-names":false,"suffix":""}],"container-title":"Research in International Business and Finance","id":"ITEM-2","issued":{"date-parts":[["2017"]]},"page":"625-639","publisher":"Elsevier B.V.","title":"Research in International Business and Finance Sustainability disclosure , dominant owners and earnings informativeness","type":"article-journal","volume":"39"},"uris":["http://www.mendeley.com/documents/?uuid=3e605384-763d-4819-ad24-a93e5ca10bf4"]},{"id":"ITEM-3","itemData":{"abstract":"Beberapa kategori industri di Indonesia mempunyai citra kurang positif di pandangan masyarakat. Salah satu kategori industri yang mempunyai citra negatif adalah perusahaan rokok. Keberadaan perusahaan rokok di Indonesia menjadi sesuatu yang kontroversi …","author":[{"dropping-particle":"","family":"Bramasta","given":"F A","non-dropping-particle":"","parse-names":false,"suffix":""}],"container-title":"Academia.Edu","id":"ITEM-3","issued":{"date-parts":[["2015"]]},"title":"Corporate Social Responsibility (Csr) Untuk Pengelolaan Citra Dan Reputasi Perusahaan Rokok Di Indonesia","type":"article-journal"},"uris":["http://www.mendeley.com/documents/?uuid=c26f7e13-1350-44bb-8df6-7b763e9bc643"]},{"id":"ITEM-4","itemData":{"DOI":"10.1177/2158244017712027","ISSN":"21582440","abstract":"Corporate sustainability is essential to long-term corporate success and for ensuring markets deliver value across society, and despite its importance, there is no clear consensus as to whether the financial performance of companies relates to their sustainability performance. The objectives of this study are to verify whether the sustainability reporting quality would affect corporate financial performance (CFP) among the firms listed on Corporate Sustainability Index (ISE) and to examine the quality of information disclosed in their sustainability reports (SR). The sample is composed of all firms listed on ISE for the period 2008 to 2014. This study considered accounting and market-based indicators and control variables. There is no clear consensus as to whether the financial performance of companies listed in sustainability indices relates to their sustainability performance. The main findings are as follows: There is no association between accounting and market-based variables and the reporting quality, and although the quality disclosure is improving throughout the years studied, the scores are still low. This is also true in the three dimensions of sustainability. We are not aware of studies examining the relationship between CFP and sustainability reporting quality, and this is the main contribution.","author":[{"dropping-particle":"","family":"Ching","given":"Hong Yuh","non-dropping-particle":"","parse-names":false,"suffix":""},{"dropping-particle":"","family":"Gerab","given":"Fábio","non-dropping-particle":"","parse-names":false,"suffix":""},{"dropping-particle":"","family":"Toste","given":"Thiago Henrique","non-dropping-particle":"","parse-names":false,"suffix":""}],"container-title":"SAGE Open","id":"ITEM-4","issue":"2","issued":{"date-parts":[["2017"]]},"title":"The Quality of Sustainability Reports and Corporate Financial Performance: Evidence From Brazilian Listed Companies","type":"article-journal","volume":"7"},"uris":["http://www.mendeley.com/documents/?uuid=a78dd02b-3302-4fa8-a20c-89e1edb473b0"]},{"id":"ITEM-5","itemData":{"author":[{"dropping-particle":"","family":"Cohen","given":"Daniel A","non-dropping-particle":"","parse-names":false,"suffix":""}],"id":"ITEM-5","issued":{"date-parts":[["2002"]]},"title":"Financial Reporting Quality and Proprietary Costs","type":"article-journal"},"uris":["http://www.mendeley.com/documents/?uuid=6ad9ba3f-280b-4a73-992b-ea8ec4146c29"]},{"id":"ITEM-6","itemData":{"DOI":"10.2308/bria.2011.23.1.109","author":[{"dropping-particle":"","family":"Cohen","given":"Jeffrey","non-dropping-particle":"","parse-names":false,"suffix":""},{"dropping-particle":"","family":"Holder-webb","given":"Lori","non-dropping-particle":"","parse-names":false,"suffix":""}],"id":"ITEM-6","issue":"1","issued":{"date-parts":[["2011"]]},"page":"109-129","title":"Retail Investors’ Perceptions of the Decision-Usefulness of Economic Performance, Governance, and Corporate Social Responsibility Disclosures","type":"article-journal","volume":"23"},"uris":["http://www.mendeley.com/documents/?uuid=86e0595e-0fcd-421b-980b-2983a94952ee"]},{"id":"ITEM-7","itemData":{"DOI":"10.5901/mjss.2013.v4n2p129","ISSN":"20399340","abstract":"At this study, we try to find the relationship between the system of governance and the quality of financial information for a sample of French companies listed in the SBF 250 for a period from 2004 to 2008. The Quality of financial information is approximated by discretionary accruals. Corporate governance is appreciated by a global index with 64 items and three sub-indices relating to the characteristics of the board, ownership structure and quality of the control system.Our results demonstrate that the quality of financial information is positively related to the quality of the board and the quality of the ownership structure.The use of an overall governance index gives more significant results for the three models and affirms the positive relationship between the quality of governance system and the quality of financial reporting.","author":[{"dropping-particle":"","family":"Fathi","given":"Jouini","non-dropping-particle":"","parse-names":false,"suffix":""}],"container-title":"Mediterranean Journal of Social Sciences","id":"ITEM-7","issue":"2","issued":{"date-parts":[["2013"]]},"page":"129-142","title":"Corporate governance system and quality of financial information","type":"article-journal","volume":"4"},"uris":["http://www.mendeley.com/documents/?uuid=822dcfda-12dc-4f15-8dfc-c7b6bc5e0863"]},{"id":"ITEM-8","itemData":{"DOI":"10.1002/csr.1423","ISSN":"15353966","abstract":"Most research on corporate social responsibility (CSR) disclosure and stakeholder engagement with sustainable development has focused on the internal factors of corporations, leaving aside the characteristics of the institutional, cultural, and economic context of the country where corporations operate. The purpose of this study is to investigate the influence of femininity in the disclosure of sustainability information based on the Global Reporting Initiative (GRI) guidelines at a developed country context. We use three measures of the CSR information disclosure by country: the GRI reports per million of inhabitants, the GRI reports application level, and the percentage of GRI reports with external assurance. The results of this study show that countries with higher femininity orientation provide a higher quantity of sustainability reports, but do not provide higher quality sustainability reports. Copyright © 2017 John Wiley &amp; Sons, Ltd and ERP Environment.","author":[{"dropping-particle":"","family":"Gallén","given":"María L.","non-dropping-particle":"","parse-names":false,"suffix":""},{"dropping-particle":"","family":"Peraita","given":"Carlos","non-dropping-particle":"","parse-names":false,"suffix":""}],"container-title":"Corporate Social Responsibility and Environmental Management","id":"ITEM-8","issue":"6","issued":{"date-parts":[["2017"]]},"page":"496-508","title":"The Relationship between Femininity and Sustainability Reporting","type":"article-journal","volume":"24"},"uris":["http://www.mendeley.com/documents/?uuid=48100744-c0a1-49b2-ae31-728ed29a6bdf"]},{"id":"ITEM-9","itemData":{"ISSN":"19475667","abstract":"Purpose: The objective of this study is to examine the relationship of corporate governance characteristics and the level of sustainability disclosure with moderating effect of internal audit function. This study focused on the manufacturing industry listed at Main Market Bursa Malaysia. 120 companies were taken in this study. This study underpins Agency Theory to investigate and explain the role played by corporate governance characteristic (e.g. board size, board independence and CEO duality) and internal audit function (IAF) and their association with the level of sustainability disclosure. Design/methodology/approach: Quantitative method by way of content analysis of secondary data was employed to the annual reports of consumer products and industrial products companies listed on the Main Market of Bursa Malaysia in the year 2015. Among the secondary data derived from annual reports were board size, board independence, CEO duality, firm size, profitability, internal audit function and sustainability disclosure information. The data obtained was analysed using Partial Least Squares Structural Equation Modeling (PLS-SEM). Findings: CEO duality was found to have significant negative relationship with the level of sustainability disclosure while internal audit function was found moderating the relationship of CEO duality and the level of sustainability disclosure. Research limitation/implications: This study has been carried out just for a one year period. Longitudinal study may improve the consistency of the results. The finding also contributes to the body of knowledge on the moderating effects of internal audit functions and its relationship with corporate governance characteristics and level of sustainability disclosure. Practical implications: The sustainability disclosure level for manufacturing companies has wide gap among themselves. Malaysia manufacturing companies need to improve the sustainability disclosure level to close the gap among themselves. Internal audit function plays an important role to monitor and improve sustainability disclosure of the companies. Continuous improvement is needed so that manufacturing industry in Malaysia is able to be a world-class benchmark in future. Originality/ Values: This research paper adds value to current knowledge by highlighting the importance of relationship between corporate governance characteristics, internal audit function, and level of sustainability disclosure, while past research had mostly f…","author":[{"dropping-particle":"","family":"Ganesan","given":"Yuvaraj","non-dropping-particle":"","parse-names":false,"suffix":""},{"dropping-particle":"","family":"Hwa","given":"Yew Wei","non-dropping-particle":"","parse-names":false,"suffix":""},{"dropping-particle":"","family":"Jaaffar","given":"Amar Hisham","non-dropping-particle":"","parse-names":false,"suffix":""},{"dropping-particle":"","family":"Hashim","given":"Fathyah","non-dropping-particle":"","parse-names":false,"suffix":""}],"container-title":"Global Business &amp; Management Research","id":"ITEM-9","issue":"4","issued":{"date-parts":[["2017"]]},"page":"159-179","title":"Corporate Governance and Sustainability Reporting Practices: The Moderating Role of Internal Audit Function.","type":"article-journal","volume":"9"},"uris":["http://www.mendeley.com/documents/?uuid=651da9b5-e7fb-4635-b768-9b84aeaaa557"]},{"id":"ITEM-10","itemData":{"DOI":"10.5937/sjm11-9593","ISSN":"22177159","abstract":"The content analysis method has been adopted to study the pattern of reporting on sustainability indicators by 10 American and 10 Indian manufacturing firms in their sustainability reports prepared as per the GRI framework and published during 2011-2013. Scores of 2, 1 and 0 have been respectively assigned for full, partial and non disclosure of sub clauses of economic, environment and social indicators to compute a SDI (sustainability disclosure index). Independent t test found a significant difference in the quality of sustainability disclosure of the sampled American and Indian manufacturing firms during 2011-13. The improvement/deterioration in the quality of disclosure over the period were correlated with changes in performance parameters like EPS and ROA to examine if betterment in quality of sustainability reporting translates into financial performance of the firms. Multiple regression analysis was performed to determine the variables which explain the variation in the sustainability reporting quality of firms.","author":[{"dropping-particle":"","family":"Munshi","given":"Diganta","non-dropping-particle":"","parse-names":false,"suffix":""},{"dropping-particle":"","family":"Dutta","given":"Sraboni","non-dropping-particle":"","parse-names":false,"suffix":""}],"container-title":"Serbian Journal of Management","id":"ITEM-10","issue":"2","issued":{"date-parts":[["2016"]]},"page":"245-260","title":"Sustainability reporting quality of Indian and American manufacturing firms: A comparative analysis","type":"article-journal","volume":"11"},"uris":["http://www.mendeley.com/documents/?uuid=7289297a-457c-4b2d-9fa8-a603dfbbd6b8"]},{"id":"ITEM-11","itemData":{"DOI":"10.2308/accr.2009.84.3.937","ISSN":"0001-4826","author":[{"dropping-particle":"","family":"Simnett","given":"Roger","non-dropping-particle":"","parse-names":false,"suffix":""},{"dropping-particle":"","family":"Vanstraelen","given":"Ann","non-dropping-particle":"","parse-names":false,"suffix":""},{"dropping-particle":"","family":"Chua","given":"Wai Fong","non-dropping-particle":"","parse-names":false,"suffix":""}],"container-title":"The Accounting Review","id":"ITEM-11","issue":"3","issued":{"date-parts":[["2009","5"]]},"page":"937-967","title":"Assurance on Sustainability Reports: An International Comparison","type":"article-journal","volume":"84"},"uris":["http://www.mendeley.com/documents/?uuid=353392ea-5e1a-36eb-bb5c-9988c73455b8"]},{"id":"ITEM-12","itemData":{"DOI":"10.28992/ijsam.v4i1.166","ISSN":"2597-6214","abstract":"This paper provides a critical review of the literature addressing the relationships between corporate social responsibility (CSR) reports, their disclosure quality, and their effects on corporate reputation. CSR reports are deemed important to legitimate a company’s existence with its stakeholders. However, there is a debate around the use of this form of voluntary disclosure as the sole means of managing corporate reputation. To prepare for the emerging discourses, this study draws upon 90 papers published in leading academic journals, discussing related topics from the early 1990s to 2018. Hence, this paper proposes for discussion of two major research questions: (1) whether CSR reports are associated with corporate reputations and (2) whether the quality of CSR disclosures is associated with corporate reputations. Along with the two proposed questions, the potential premise for a future empirical test is presented in a systematic exhibition.","author":[{"dropping-particle":"","family":"Usman","given":"Berto","non-dropping-particle":"","parse-names":false,"suffix":""}],"container-title":"Indonesian Journal of Sustainability Accounting and Management","id":"ITEM-12","issue":"1","issued":{"date-parts":[["2020"]]},"page":"28","title":"CSR Reports, CSR Disclosure Quality, and Corporate Reputations: A Systematic Literature Review","type":"article-journal","volume":"4"},"uris":["http://www.mendeley.com/documents/?uuid=388b1e75-1ab3-4135-9c86-35bb8bd5a3a1"]},{"id":"ITEM-13","itemData":{"author":[{"dropping-particle":"","family":"ALiada","given":"Reza Adita","non-dropping-particle":"","parse-names":false,"suffix":""},{"dropping-particle":"","family":"Herwiyanti","given":"Eliada","non-dropping-particle":"","parse-names":false,"suffix":""},{"dropping-particle":"","family":"S","given":"Kiki","non-dropping-particle":"","parse-names":false,"suffix":""}],"id":"ITEM-13","issue":"1","issued":{"date-parts":[["2019"]]},"page":"49-64","title":"Peran Mediasi Reputasi Pada Hubungan Pengungkapan Csr","type":"article-journal","volume":"23"},"uris":["http://www.mendeley.com/documents/?uuid=422f9788-df04-4e46-a321-e9a4ecb0fd25"]}],"mendeley":{"formattedCitation":"(ALiada et al., 2019; Bachoo, Tan, &amp; Wilson, 2013; Bona-sánchez, Pérez-alemán, &amp; Santana-martin, 2017; Bramasta, 2015; Ching, Gerab, &amp; Toste, 2017; D. A. Cohen, 2002; J. Cohen &amp; Holder-webb, 2011; Fathi, 2013; Gallén &amp; Peraita, 2017; Ganesan, Hwa, Jaaffar, &amp; Hashim, 2017; Munshi &amp; Dutta, 2016; Simnett, Vanstraelen, &amp; Chua, 2009; Usman, 2020)","plainTextFormattedCitation":"(ALiada et al., 2019; Bachoo, Tan, &amp; Wilson, 2013; Bona-sánchez, Pérez-alemán, &amp; Santana-martin, 2017; Bramasta, 2015; Ching, Gerab, &amp; Toste, 2017; D. A. Cohen, 2002; J. Cohen &amp; Holder-webb, 2011; Fathi, 2013; Gallén &amp; Peraita, 2017; Ganesan, Hwa, Jaaffar, &amp; Hashim, 2017; Munshi &amp; Dutta, 2016; Simnett, Vanstraelen, &amp; Chua, 2009; Usman, 2020)","previouslyFormattedCitation":"(ALiada et al., 2019; Bachoo, Tan, &amp; Wilson, 2013; Bona-sánchez, Pérez-alemán, &amp; Santana-martin, 2017; Bramasta, 2015; Ching, Gerab, &amp; Toste, 2017; D. A. Cohen, 2002; J. Cohen &amp; Holder-webb, 2011; Fathi, 2013; Gallén &amp; Peraita, 2017; Ganesan, Hwa, Jaaffar, &amp; Hashim, 2017; Munshi &amp; Dutta, 2016; Simnett, Vanstraelen, &amp; Chua, 2009; Usman, 2020)"},"properties":{"noteIndex":0},"schema":"https://github.com/citation-style-language/schema/raw/master/csl-citation.json"}</w:instrText>
      </w:r>
      <w:r w:rsidR="00C167A2">
        <w:fldChar w:fldCharType="separate"/>
      </w:r>
      <w:r w:rsidR="00C100C1" w:rsidRPr="00C100C1">
        <w:rPr>
          <w:noProof/>
        </w:rPr>
        <w:t>(ALiada et al., 2019; Bachoo, Tan, &amp; Wilson, 2013; Bona-sánchez, Pérez-alemán, &amp; Santana-martin, 2017; Bramasta, 2015; Ching, Gerab, &amp; Toste, 2017; D. A. Cohen, 2002; J. Cohen &amp; Holder-webb, 2011; Fathi, 2013; Gallén &amp; Peraita, 2017; Ganesan, Hwa, Jaaffar, &amp; Hashim, 2017; Munshi &amp; Dutta, 2016; Simnett, Vanstraelen, &amp; Chua, 2009; Usman, 2020)</w:t>
      </w:r>
      <w:r w:rsidR="00C167A2">
        <w:fldChar w:fldCharType="end"/>
      </w:r>
      <w:r>
        <w:t xml:space="preserve"> </w:t>
      </w:r>
      <w:proofErr w:type="spellStart"/>
      <w:r>
        <w:t>telah</w:t>
      </w:r>
      <w:proofErr w:type="spellEnd"/>
      <w:r>
        <w:t xml:space="preserve"> </w:t>
      </w:r>
      <w:proofErr w:type="spellStart"/>
      <w:r>
        <w:t>meneliti</w:t>
      </w:r>
      <w:proofErr w:type="spellEnd"/>
      <w:r>
        <w:t xml:space="preserve"> </w:t>
      </w:r>
      <w:proofErr w:type="spellStart"/>
      <w:r>
        <w:t>faktor-faktor</w:t>
      </w:r>
      <w:proofErr w:type="spellEnd"/>
      <w:r>
        <w:t xml:space="preserve"> yang </w:t>
      </w:r>
      <w:proofErr w:type="spellStart"/>
      <w:r>
        <w:t>memengaruhi</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laporan</w:t>
      </w:r>
      <w:proofErr w:type="spellEnd"/>
      <w:r>
        <w:t xml:space="preserve"> </w:t>
      </w:r>
      <w:proofErr w:type="spellStart"/>
      <w:r>
        <w:t>keberlanjutan</w:t>
      </w:r>
      <w:proofErr w:type="spellEnd"/>
      <w:r>
        <w:t xml:space="preserve"> </w:t>
      </w:r>
      <w:proofErr w:type="spellStart"/>
      <w:r>
        <w:t>seperti</w:t>
      </w:r>
      <w:proofErr w:type="spellEnd"/>
      <w:r>
        <w:t xml:space="preserve"> </w:t>
      </w:r>
      <w:proofErr w:type="spellStart"/>
      <w:r>
        <w:t>kinerja</w:t>
      </w:r>
      <w:proofErr w:type="spellEnd"/>
      <w:r>
        <w:t xml:space="preserve"> </w:t>
      </w:r>
      <w:proofErr w:type="spellStart"/>
      <w:r>
        <w:t>keuangan</w:t>
      </w:r>
      <w:proofErr w:type="spellEnd"/>
      <w:r>
        <w:t xml:space="preserve">, </w:t>
      </w:r>
      <w:proofErr w:type="spellStart"/>
      <w:r>
        <w:t>jaminan</w:t>
      </w:r>
      <w:proofErr w:type="spellEnd"/>
      <w:r>
        <w:t xml:space="preserve"> audit, tata Kelola </w:t>
      </w:r>
      <w:proofErr w:type="spellStart"/>
      <w:r>
        <w:t>perusahaan</w:t>
      </w:r>
      <w:proofErr w:type="spellEnd"/>
      <w:r>
        <w:t xml:space="preserve">, gender, </w:t>
      </w:r>
      <w:proofErr w:type="spellStart"/>
      <w:r>
        <w:t>nilai</w:t>
      </w:r>
      <w:proofErr w:type="spellEnd"/>
      <w:r>
        <w:t xml:space="preserve"> </w:t>
      </w:r>
      <w:proofErr w:type="spellStart"/>
      <w:r>
        <w:t>perusahan</w:t>
      </w:r>
      <w:proofErr w:type="spellEnd"/>
      <w:r>
        <w:t xml:space="preserve">, </w:t>
      </w:r>
      <w:r>
        <w:rPr>
          <w:i/>
          <w:iCs/>
        </w:rPr>
        <w:t>proprietary costs</w:t>
      </w:r>
      <w:r>
        <w:t xml:space="preserve"> dan </w:t>
      </w:r>
      <w:proofErr w:type="spellStart"/>
      <w:r>
        <w:t>reputasi</w:t>
      </w:r>
      <w:proofErr w:type="spellEnd"/>
      <w:r>
        <w:t>.</w:t>
      </w:r>
    </w:p>
    <w:p w14:paraId="685E5283" w14:textId="09699D79" w:rsidR="00EE37C5" w:rsidRDefault="00F137A1" w:rsidP="00EE37C5">
      <w:pPr>
        <w:pStyle w:val="BodyText"/>
        <w:spacing w:before="1" w:line="276" w:lineRule="auto"/>
        <w:ind w:left="277" w:right="138" w:firstLine="7"/>
        <w:jc w:val="both"/>
      </w:pPr>
      <w:r>
        <w:tab/>
      </w:r>
      <w:proofErr w:type="spellStart"/>
      <w:r>
        <w:t>Lebih</w:t>
      </w:r>
      <w:proofErr w:type="spellEnd"/>
      <w:r>
        <w:t xml:space="preserve"> </w:t>
      </w:r>
      <w:proofErr w:type="spellStart"/>
      <w:r>
        <w:t>lanjut</w:t>
      </w:r>
      <w:proofErr w:type="spellEnd"/>
      <w:r>
        <w:t xml:space="preserve">, </w:t>
      </w:r>
      <w:proofErr w:type="spellStart"/>
      <w:r>
        <w:t>penelitian</w:t>
      </w:r>
      <w:proofErr w:type="spellEnd"/>
      <w:r>
        <w:t xml:space="preserve"> </w:t>
      </w:r>
      <w:proofErr w:type="spellStart"/>
      <w:r>
        <w:t>terdahulu</w:t>
      </w:r>
      <w:proofErr w:type="spellEnd"/>
      <w:r>
        <w:t xml:space="preserve"> </w:t>
      </w:r>
      <w:r>
        <w:fldChar w:fldCharType="begin" w:fldLock="1"/>
      </w:r>
      <w:r w:rsidR="00C100C1">
        <w:instrText>ADDIN CSL_CITATION {"citationItems":[{"id":"ITEM-1","itemData":{"DOI":"10.1007/s10551-010-0496-z","ISBN":"1055101004","ISSN":"01674544","abstract":"In recent years, firms have greatly increased the amount of resources allocated to activities classified as Corporate Social Responsibility (CSR). While an increase in CSR expenditure may be consistent with firm value maximization if it is a response to changes in stakeholders' preferences, we argue that a firm's insiders (managers and large blockholders) may seek to over- invest in CSR for their private benefit to the extent that doing so improves their reputations as good global citizens and has a \"warm-glow\" effect. We test this hypothesis by investigating the relation between firms' CSR ratings and their ownership and capital structures. Employing a unique data set that categorizes the largest 3000 U. S. corporations as either socially responsible (SR) or socially irresponsible (SI), we find that on average, insiders' ownership and leverage are negatively related to the firm's social rating, while institutional ownership is uncorrelated with it. Assuming that higher CSR ratings is associated with higher CSR expenditure level, these results support our hypothesis that insiders induce firms to over-invest in CSR when they bear little of the cost of doing so. © 2010 Springer Science+Business Media B.V.","author":[{"dropping-particle":"","family":"Barnea","given":"Amir","non-dropping-particle":"","parse-names":false,"suffix":""},{"dropping-particle":"","family":"Rubin","given":"Amir","non-dropping-particle":"","parse-names":false,"suffix":""}],"container-title":"Journal of Business Ethics","id":"ITEM-1","issue":"1","issued":{"date-parts":[["2010"]]},"page":"71-86","title":"Corporate Social Responsibility as a Conflict Between Shareholders","type":"article-journal","volume":"97"},"uris":["http://www.mendeley.com/documents/?uuid=fee1a778-9b1d-4df8-80ce-93ed3b2f41d4"]},{"id":"ITEM-2","itemData":{"DOI":"10.1007/s10551-006-9071-z","ISSN":"01674544","abstract":"Firms engage in corporate social responsibility (CSR) because they consider that some kind of competitive advantage accrues to them. We contend that resource-based perspectives (RBP) are useful to understand why firms engage in CSR activities and disclosure. From a resource-based perspective CSR is seen as providing internal or external benefits, or both. Investments in socially responsible activities may have internal benefits by helping a firm to develop new resources and capabilities which are related namely to know-how and corporate culture. In effect, investing in social responsibility activities and disclosure has important consequences on the creation or depletion of fundamental intangible resources, namely those associated with employees. The external benefits of CSR are related to its effect on corporate reputation. Corporate reputation can be understood as a fundamental intangible resource which can be created or depleted as a consequence of the decisions to engage or not in social responsibility activities and disclosure. Firms with good social responsibility reputation may improve relations with external actors. They may also attract better employees or increase current employees' motivation, morale, commitment and loyalty to the firm. This article contributes to the understanding of why CSR may be seen as having strategic value for firms and how RBP can be used in such endeavour. © Springer 2006.","author":[{"dropping-particle":"","family":"Branco","given":"Manuel Castelo","non-dropping-particle":"","parse-names":false,"suffix":""},{"dropping-particle":"","family":"Rodrigues","given":"Lúcia Lima","non-dropping-particle":"","parse-names":false,"suffix":""}],"container-title":"Journal of Business Ethics","id":"ITEM-2","issue":"2","issued":{"date-parts":[["2006"]]},"page":"111-132","title":"Corporate social responsibility and resource-based perspectives","type":"article-journal","volume":"69"},"uris":["http://www.mendeley.com/documents/?uuid=77f9e074-8fda-4729-94e4-54fbfd7d1637"]},{"id":"ITEM-3","itemData":{"DOI":"10.1108/s1479-3598(2010)0000004007","ISBN":"0000004014","abstract":"In this chapter, we investigate whether the first-time issuance of a standalone corporate sustainability report led to changes in reputation as measured by Fortune Most Admired scores. Based on a sample of 59 U.S. companies issuing their first standalone sustainability report over the period from 2001 to 2007, and controlling for the financial “halo effect” reported by Brown and Perry (1994), we find, on average no significant changes in reputational scores. However, cross sectional analysis shows that issuing companies from socially exposed industries experienced decreases in scores. Further, report quality, at least at the extremes appears to be positively related to changes in perceived reputation. These results are consistent with Godfrey's (2005) arguments with respect to corporate reputation.","author":[{"dropping-particle":"","family":"Lee Brown","given":"Darryl","non-dropping-particle":"","parse-names":false,"suffix":""},{"dropping-particle":"","family":"Guidry","given":"Ronald P.","non-dropping-particle":"","parse-names":false,"suffix":""},{"dropping-particle":"","family":"Patten","given":"Dennis M.","non-dropping-particle":"","parse-names":false,"suffix":""}],"id":"ITEM-3","issue":"2010","issued":{"date-parts":[["2009"]]},"page":"83-104","title":"Sustainability reporting and perceptions of corporate reputation: An analysis using fortune","type":"article-journal","volume":"4"},"uris":["http://www.mendeley.com/documents/?uuid=38a18e54-ff18-4faa-8cde-0518ba44705c"]},{"id":"ITEM-4","itemData":{"DOI":"10.1016/j.heliyon.2021.e06809","ISSN":"24058440","abstract":"Due to globalization expansion, corporate social responsibility (CSR) is no longer an unfamiliar concept in emerging markets. In the case of Vietnam, its implementation will be influenced by several factors, including ethical leadership. Drawing upon the stakeholder theory, this study develops and tests a serial mediation model to explain how CSR and firm reputation can connect ethical leadership to enhanced firm performance. The PLS-SEM results from survey data collected from 653 mid- and top-level managers from large companies in Vietnam indicate that ethical leadership positively influences CSR, which, in turn, results in enhanced firm reputation and firm performance. This study contributes to research on the intersection between CSR and leadership in the context of emerging markets. This study also provides some managerial implications for Vietnamese firms striving to promote ethical leadership to achieve CSR outcomes.","author":[{"dropping-particle":"","family":"Nguyen","given":"Nguyen Thi Thao","non-dropping-particle":"","parse-names":false,"suffix":""},{"dropping-particle":"","family":"Nguyen","given":"Nguyen Phong","non-dropping-particle":"","parse-names":false,"suffix":""},{"dropping-particle":"","family":"Thanh Hoai","given":"Tu","non-dropping-particle":"","parse-names":false,"suffix":""}],"container-title":"Heliyon","id":"ITEM-4","issue":"4","issued":{"date-parts":[["2021"]]},"page":"e06809","publisher":"Elsevier Ltd","title":"Ethical leadership, corporate social responsibility, firm reputation, and firm performance: A serial mediation model","type":"article-journal","volume":"7"},"uris":["http://www.mendeley.com/documents/?uuid=f839da1e-0eb7-4786-9588-2fe8abc34259"]},{"id":"ITEM-5","itemData":{"author":[{"dropping-particle":"","family":"ALiada","given":"Reza Adita","non-dropping-particle":"","parse-names":false,"suffix":""},{"dropping-particle":"","family":"Herwiyanti","given":"Eliada","non-dropping-particle":"","parse-names":false,"suffix":""},{"dropping-particle":"","family":"S","given":"Kiki","non-dropping-particle":"","parse-names":false,"suffix":""}],"id":"ITEM-5","issue":"1","issued":{"date-parts":[["2019"]]},"page":"49-64","title":"Peran Mediasi Reputasi Pada Hubungan Pengungkapan Csr","type":"article-journal","volume":"23"},"uris":["http://www.mendeley.com/documents/?uuid=422f9788-df04-4e46-a321-e9a4ecb0fd25"]}],"mendeley":{"formattedCitation":"(ALiada et al., 2019; Barnea &amp; Rubin, 2010; Branco &amp; Rodrigues, 2006; Lee Brown, Guidry, &amp; Patten, 2009; Nguyen, Nguyen, &amp; Thanh Hoai, 2021)","plainTextFormattedCitation":"(ALiada et al., 2019; Barnea &amp; Rubin, 2010; Branco &amp; Rodrigues, 2006; Lee Brown, Guidry, &amp; Patten, 2009; Nguyen, Nguyen, &amp; Thanh Hoai, 2021)","previouslyFormattedCitation":"(ALiada et al., 2019; Barnea &amp; Rubin, 2010; Branco &amp; Rodrigues, 2006; Lee Brown, Guidry, &amp; Patten, 2009; Nguyen, Nguyen, &amp; Thanh Hoai, 2021)"},"properties":{"noteIndex":0},"schema":"https://github.com/citation-style-language/schema/raw/master/csl-citation.json"}</w:instrText>
      </w:r>
      <w:r>
        <w:fldChar w:fldCharType="separate"/>
      </w:r>
      <w:r w:rsidRPr="00F137A1">
        <w:rPr>
          <w:noProof/>
        </w:rPr>
        <w:t>(ALiada et al., 2019; Barnea &amp; Rubin, 2010; Branco &amp; Rodrigues, 2006; Lee Brown, Guidry, &amp; Patten, 2009; Nguyen, Nguyen, &amp; Thanh Hoai, 2021)</w:t>
      </w:r>
      <w:r>
        <w:fldChar w:fldCharType="end"/>
      </w:r>
      <w:r>
        <w:t xml:space="preserve"> </w:t>
      </w:r>
      <w:proofErr w:type="spellStart"/>
      <w:r>
        <w:t>menemukan</w:t>
      </w:r>
      <w:proofErr w:type="spellEnd"/>
      <w:r>
        <w:t xml:space="preserve"> </w:t>
      </w:r>
      <w:proofErr w:type="spellStart"/>
      <w:r>
        <w:t>bahwa</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w:t>
      </w:r>
      <w:r w:rsidR="00D033C5">
        <w:t>a</w:t>
      </w:r>
      <w:r>
        <w:t>wab</w:t>
      </w:r>
      <w:proofErr w:type="spellEnd"/>
      <w:r>
        <w:t xml:space="preserve"> </w:t>
      </w:r>
      <w:proofErr w:type="spellStart"/>
      <w:r>
        <w:t>sosial</w:t>
      </w:r>
      <w:proofErr w:type="spellEnd"/>
      <w:r>
        <w:t xml:space="preserve"> </w:t>
      </w:r>
      <w:proofErr w:type="spellStart"/>
      <w:r w:rsidR="00F22706">
        <w:t>m</w:t>
      </w:r>
      <w:r w:rsidR="00EE37C5">
        <w:t>memiliki</w:t>
      </w:r>
      <w:proofErr w:type="spellEnd"/>
      <w:r w:rsidR="00EE37C5">
        <w:t xml:space="preserve"> </w:t>
      </w:r>
      <w:proofErr w:type="spellStart"/>
      <w:r w:rsidR="00EE37C5">
        <w:t>pengaruh</w:t>
      </w:r>
      <w:proofErr w:type="spellEnd"/>
      <w:r w:rsidR="00EE37C5">
        <w:t xml:space="preserve"> </w:t>
      </w:r>
      <w:proofErr w:type="spellStart"/>
      <w:r w:rsidR="00EE37C5">
        <w:t>positif</w:t>
      </w:r>
      <w:proofErr w:type="spellEnd"/>
      <w:r w:rsidR="00EE37C5">
        <w:t xml:space="preserve"> </w:t>
      </w:r>
      <w:proofErr w:type="spellStart"/>
      <w:r w:rsidR="00EE37C5">
        <w:t>terhadap</w:t>
      </w:r>
      <w:proofErr w:type="spellEnd"/>
      <w:r>
        <w:t xml:space="preserve"> </w:t>
      </w:r>
      <w:proofErr w:type="spellStart"/>
      <w:r>
        <w:t>reputasi</w:t>
      </w:r>
      <w:proofErr w:type="spellEnd"/>
      <w:r>
        <w:t xml:space="preserve"> </w:t>
      </w:r>
      <w:proofErr w:type="spellStart"/>
      <w:r>
        <w:t>suatu</w:t>
      </w:r>
      <w:proofErr w:type="spellEnd"/>
      <w:r>
        <w:t xml:space="preserve"> </w:t>
      </w:r>
      <w:proofErr w:type="spellStart"/>
      <w:r>
        <w:t>perusahaan</w:t>
      </w:r>
      <w:proofErr w:type="spellEnd"/>
      <w:r>
        <w:t xml:space="preserve">. </w:t>
      </w:r>
      <w:r w:rsidR="00EE37C5">
        <w:t>P</w:t>
      </w:r>
      <w:r w:rsidR="00F22706">
        <w:t xml:space="preserve">erusahaan yang </w:t>
      </w:r>
      <w:proofErr w:type="spellStart"/>
      <w:r w:rsidR="00F22706">
        <w:t>melakukan</w:t>
      </w:r>
      <w:proofErr w:type="spellEnd"/>
      <w:r w:rsidR="00F22706">
        <w:t xml:space="preserve"> </w:t>
      </w:r>
      <w:proofErr w:type="spellStart"/>
      <w:r w:rsidR="00F22706">
        <w:t>pengungkapan</w:t>
      </w:r>
      <w:proofErr w:type="spellEnd"/>
      <w:r w:rsidR="00F22706">
        <w:t xml:space="preserve"> </w:t>
      </w:r>
      <w:proofErr w:type="spellStart"/>
      <w:r w:rsidR="00F22706">
        <w:t>tanggung</w:t>
      </w:r>
      <w:proofErr w:type="spellEnd"/>
      <w:r w:rsidR="00F22706">
        <w:t xml:space="preserve"> </w:t>
      </w:r>
      <w:proofErr w:type="spellStart"/>
      <w:r w:rsidR="00F22706">
        <w:t>jawab</w:t>
      </w:r>
      <w:proofErr w:type="spellEnd"/>
      <w:r w:rsidR="00F22706">
        <w:t xml:space="preserve"> </w:t>
      </w:r>
      <w:proofErr w:type="spellStart"/>
      <w:r w:rsidR="00F22706">
        <w:t>sosial</w:t>
      </w:r>
      <w:proofErr w:type="spellEnd"/>
      <w:r w:rsidR="00F22706">
        <w:t xml:space="preserve"> </w:t>
      </w:r>
      <w:proofErr w:type="spellStart"/>
      <w:r w:rsidR="00F22706">
        <w:t>dalam</w:t>
      </w:r>
      <w:proofErr w:type="spellEnd"/>
      <w:r w:rsidR="00F22706">
        <w:t xml:space="preserve"> </w:t>
      </w:r>
      <w:proofErr w:type="spellStart"/>
      <w:r w:rsidR="00F22706">
        <w:t>laporan</w:t>
      </w:r>
      <w:proofErr w:type="spellEnd"/>
      <w:r w:rsidR="00F22706">
        <w:t xml:space="preserve"> </w:t>
      </w:r>
      <w:proofErr w:type="spellStart"/>
      <w:r w:rsidR="00F22706">
        <w:t>keberlanjutannya</w:t>
      </w:r>
      <w:proofErr w:type="spellEnd"/>
      <w:r w:rsidR="00F22706">
        <w:t xml:space="preserve"> </w:t>
      </w:r>
      <w:proofErr w:type="spellStart"/>
      <w:r w:rsidR="00EE37C5">
        <w:t>dianggap</w:t>
      </w:r>
      <w:proofErr w:type="spellEnd"/>
      <w:r w:rsidR="00EE37C5">
        <w:t xml:space="preserve"> </w:t>
      </w:r>
      <w:proofErr w:type="spellStart"/>
      <w:r w:rsidR="00EE37C5">
        <w:t>bahwa</w:t>
      </w:r>
      <w:proofErr w:type="spellEnd"/>
      <w:r w:rsidR="00F22706">
        <w:t xml:space="preserve"> </w:t>
      </w:r>
      <w:proofErr w:type="spellStart"/>
      <w:r w:rsidR="00F22706">
        <w:t>perusahaan</w:t>
      </w:r>
      <w:proofErr w:type="spellEnd"/>
      <w:r w:rsidR="00F22706">
        <w:t xml:space="preserve"> </w:t>
      </w:r>
      <w:proofErr w:type="spellStart"/>
      <w:r w:rsidR="00F22706">
        <w:t>tersebut</w:t>
      </w:r>
      <w:proofErr w:type="spellEnd"/>
      <w:r w:rsidR="00F22706">
        <w:t xml:space="preserve"> </w:t>
      </w:r>
      <w:proofErr w:type="spellStart"/>
      <w:r w:rsidR="00F22706">
        <w:t>secara</w:t>
      </w:r>
      <w:proofErr w:type="spellEnd"/>
      <w:r w:rsidR="00F22706">
        <w:t xml:space="preserve"> </w:t>
      </w:r>
      <w:proofErr w:type="spellStart"/>
      <w:r w:rsidR="00F22706">
        <w:t>langsung</w:t>
      </w:r>
      <w:proofErr w:type="spellEnd"/>
      <w:r w:rsidR="00F22706">
        <w:t xml:space="preserve"> </w:t>
      </w:r>
      <w:proofErr w:type="spellStart"/>
      <w:r w:rsidR="00F22706">
        <w:t>bertanggung</w:t>
      </w:r>
      <w:proofErr w:type="spellEnd"/>
      <w:r w:rsidR="00F22706">
        <w:t xml:space="preserve"> </w:t>
      </w:r>
      <w:proofErr w:type="spellStart"/>
      <w:r w:rsidR="00F22706">
        <w:t>jawab</w:t>
      </w:r>
      <w:proofErr w:type="spellEnd"/>
      <w:r w:rsidR="00F22706">
        <w:t xml:space="preserve"> </w:t>
      </w:r>
      <w:proofErr w:type="spellStart"/>
      <w:r w:rsidR="00F22706">
        <w:t>akan</w:t>
      </w:r>
      <w:proofErr w:type="spellEnd"/>
      <w:r w:rsidR="00F22706">
        <w:t xml:space="preserve"> </w:t>
      </w:r>
      <w:proofErr w:type="spellStart"/>
      <w:r w:rsidR="00F22706">
        <w:t>masalah</w:t>
      </w:r>
      <w:proofErr w:type="spellEnd"/>
      <w:r w:rsidR="00F22706">
        <w:t xml:space="preserve"> </w:t>
      </w:r>
      <w:proofErr w:type="spellStart"/>
      <w:r w:rsidR="00F22706">
        <w:t>sosial</w:t>
      </w:r>
      <w:proofErr w:type="spellEnd"/>
      <w:r w:rsidR="00F22706">
        <w:t xml:space="preserve">, </w:t>
      </w:r>
      <w:proofErr w:type="spellStart"/>
      <w:r w:rsidR="00F22706">
        <w:t>lingkungan</w:t>
      </w:r>
      <w:proofErr w:type="spellEnd"/>
      <w:r w:rsidR="00F22706">
        <w:t xml:space="preserve">, dan </w:t>
      </w:r>
      <w:proofErr w:type="spellStart"/>
      <w:r w:rsidR="00F22706">
        <w:t>ekonom</w:t>
      </w:r>
      <w:r w:rsidR="00424D83">
        <w:t>i</w:t>
      </w:r>
      <w:proofErr w:type="spellEnd"/>
      <w:r w:rsidR="00424D83">
        <w:t xml:space="preserve"> </w:t>
      </w:r>
      <w:proofErr w:type="spellStart"/>
      <w:r w:rsidR="00F22706">
        <w:t>sehingga</w:t>
      </w:r>
      <w:proofErr w:type="spellEnd"/>
      <w:r w:rsidR="00F22706">
        <w:t xml:space="preserve"> </w:t>
      </w:r>
      <w:proofErr w:type="spellStart"/>
      <w:r w:rsidR="00F22706">
        <w:t>dapat</w:t>
      </w:r>
      <w:proofErr w:type="spellEnd"/>
      <w:r w:rsidR="00F22706">
        <w:t xml:space="preserve"> </w:t>
      </w:r>
      <w:proofErr w:type="spellStart"/>
      <w:r w:rsidR="00F22706">
        <w:t>meningkatkan</w:t>
      </w:r>
      <w:proofErr w:type="spellEnd"/>
      <w:r w:rsidR="00F22706">
        <w:t xml:space="preserve"> </w:t>
      </w:r>
      <w:proofErr w:type="spellStart"/>
      <w:r w:rsidR="00F22706">
        <w:t>reputasi</w:t>
      </w:r>
      <w:proofErr w:type="spellEnd"/>
      <w:r w:rsidR="00F22706">
        <w:t xml:space="preserve"> </w:t>
      </w:r>
      <w:proofErr w:type="spellStart"/>
      <w:r w:rsidR="00F22706">
        <w:t>perusahaan</w:t>
      </w:r>
      <w:proofErr w:type="spellEnd"/>
      <w:r w:rsidR="00F22706">
        <w:t>.</w:t>
      </w:r>
      <w:r w:rsidR="009D5757">
        <w:t xml:space="preserve"> </w:t>
      </w:r>
      <w:proofErr w:type="spellStart"/>
      <w:r w:rsidR="005F72DF">
        <w:t>P</w:t>
      </w:r>
      <w:r w:rsidR="009D5757">
        <w:t>engungkapan</w:t>
      </w:r>
      <w:proofErr w:type="spellEnd"/>
      <w:r w:rsidR="009D5757">
        <w:t xml:space="preserve"> </w:t>
      </w:r>
      <w:proofErr w:type="spellStart"/>
      <w:r w:rsidR="009D5757">
        <w:t>tanggungjawab</w:t>
      </w:r>
      <w:proofErr w:type="spellEnd"/>
      <w:r w:rsidR="009D5757">
        <w:t xml:space="preserve"> </w:t>
      </w:r>
      <w:proofErr w:type="spellStart"/>
      <w:r w:rsidR="009D5757">
        <w:t>sosial</w:t>
      </w:r>
      <w:proofErr w:type="spellEnd"/>
      <w:r w:rsidR="009D5757">
        <w:t xml:space="preserve"> </w:t>
      </w:r>
      <w:r w:rsidR="00EE37C5">
        <w:t xml:space="preserve">juga </w:t>
      </w:r>
      <w:proofErr w:type="spellStart"/>
      <w:r w:rsidR="009D5757">
        <w:t>memiliki</w:t>
      </w:r>
      <w:proofErr w:type="spellEnd"/>
      <w:r w:rsidR="009D5757">
        <w:t xml:space="preserve"> </w:t>
      </w:r>
      <w:proofErr w:type="spellStart"/>
      <w:r w:rsidR="009D5757">
        <w:t>dampak</w:t>
      </w:r>
      <w:proofErr w:type="spellEnd"/>
      <w:r w:rsidR="009D5757">
        <w:t xml:space="preserve"> </w:t>
      </w:r>
      <w:proofErr w:type="spellStart"/>
      <w:r w:rsidR="009D5757">
        <w:t>positif</w:t>
      </w:r>
      <w:proofErr w:type="spellEnd"/>
      <w:r w:rsidR="009D5757">
        <w:t xml:space="preserve"> </w:t>
      </w:r>
      <w:proofErr w:type="spellStart"/>
      <w:r w:rsidR="009D5757">
        <w:t>terhadap</w:t>
      </w:r>
      <w:proofErr w:type="spellEnd"/>
      <w:r w:rsidR="009D5757">
        <w:t xml:space="preserve"> </w:t>
      </w:r>
      <w:proofErr w:type="spellStart"/>
      <w:r w:rsidR="009D5757">
        <w:t>perusahaan</w:t>
      </w:r>
      <w:proofErr w:type="spellEnd"/>
      <w:r w:rsidR="009D5757">
        <w:t xml:space="preserve"> </w:t>
      </w:r>
      <w:proofErr w:type="spellStart"/>
      <w:r w:rsidR="009D5757">
        <w:t>dalam</w:t>
      </w:r>
      <w:proofErr w:type="spellEnd"/>
      <w:r w:rsidR="009D5757">
        <w:t xml:space="preserve"> </w:t>
      </w:r>
      <w:proofErr w:type="spellStart"/>
      <w:r w:rsidR="009D5757">
        <w:t>bentuk</w:t>
      </w:r>
      <w:proofErr w:type="spellEnd"/>
      <w:r w:rsidR="009D5757">
        <w:t xml:space="preserve"> </w:t>
      </w:r>
      <w:proofErr w:type="spellStart"/>
      <w:r w:rsidR="009D5757">
        <w:t>profitabilitas</w:t>
      </w:r>
      <w:proofErr w:type="spellEnd"/>
      <w:r w:rsidR="009D5757">
        <w:t xml:space="preserve">, </w:t>
      </w:r>
      <w:proofErr w:type="spellStart"/>
      <w:r w:rsidR="009D5757">
        <w:t>citra</w:t>
      </w:r>
      <w:proofErr w:type="spellEnd"/>
      <w:r w:rsidR="009D5757">
        <w:t>,</w:t>
      </w:r>
      <w:r w:rsidR="00EE37C5">
        <w:t xml:space="preserve"> </w:t>
      </w:r>
      <w:proofErr w:type="spellStart"/>
      <w:r w:rsidR="00EE37C5">
        <w:t>keunggulan</w:t>
      </w:r>
      <w:proofErr w:type="spellEnd"/>
      <w:r w:rsidR="00EE37C5">
        <w:t xml:space="preserve"> </w:t>
      </w:r>
      <w:proofErr w:type="spellStart"/>
      <w:r w:rsidR="00EE37C5">
        <w:t>kompetitif</w:t>
      </w:r>
      <w:proofErr w:type="spellEnd"/>
      <w:r w:rsidR="00EE37C5">
        <w:t>,</w:t>
      </w:r>
      <w:r w:rsidR="009D5757">
        <w:t xml:space="preserve"> </w:t>
      </w:r>
      <w:proofErr w:type="spellStart"/>
      <w:r w:rsidR="009D5757">
        <w:t>kepercayaan</w:t>
      </w:r>
      <w:proofErr w:type="spellEnd"/>
      <w:r w:rsidR="009D5757">
        <w:t xml:space="preserve"> dan </w:t>
      </w:r>
      <w:proofErr w:type="spellStart"/>
      <w:r w:rsidR="009D5757">
        <w:t>pemahaman</w:t>
      </w:r>
      <w:proofErr w:type="spellEnd"/>
      <w:r w:rsidR="00EE37C5">
        <w:t xml:space="preserve"> </w:t>
      </w:r>
      <w:r w:rsidR="00EE37C5">
        <w:fldChar w:fldCharType="begin" w:fldLock="1"/>
      </w:r>
      <w:r w:rsidR="00C100C1">
        <w:instrText>ADDIN CSL_CITATION {"citationItems":[{"id":"ITEM-1","itemData":{"DOI":"10.28992/ijsam.v4i1.166","ISSN":"2597-6214","abstract":"This paper provides a critical review of the literature addressing the relationships between corporate social responsibility (CSR) reports, their disclosure quality, and their effects on corporate reputation. CSR reports are deemed important to legitimate a company’s existence with its stakeholders. However, there is a debate around the use of this form of voluntary disclosure as the sole means of managing corporate reputation. To prepare for the emerging discourses, this study draws upon 90 papers published in leading academic journals, discussing related topics from the early 1990s to 2018. Hence, this paper proposes for discussion of two major research questions: (1) whether CSR reports are associated with corporate reputations and (2) whether the quality of CSR disclosures is associated with corporate reputations. Along with the two proposed questions, the potential premise for a future empirical test is presented in a systematic exhibition.","author":[{"dropping-particle":"","family":"Usman","given":"Berto","non-dropping-particle":"","parse-names":false,"suffix":""}],"container-title":"Indonesian Journal of Sustainability Accounting and Management","id":"ITEM-1","issue":"1","issued":{"date-parts":[["2020"]]},"page":"28","title":"CSR Reports, CSR Disclosure Quality, and Corporate Reputations: A Systematic Literature Review","type":"article-journal","volume":"4"},"uris":["http://www.mendeley.com/documents/?uuid=388b1e75-1ab3-4135-9c86-35bb8bd5a3a1"]}],"mendeley":{"formattedCitation":"(Usman, 2020)","plainTextFormattedCitation":"(Usman, 2020)","previouslyFormattedCitation":"(Usman, 2020)"},"properties":{"noteIndex":0},"schema":"https://github.com/citation-style-language/schema/raw/master/csl-citation.json"}</w:instrText>
      </w:r>
      <w:r w:rsidR="00EE37C5">
        <w:fldChar w:fldCharType="separate"/>
      </w:r>
      <w:r w:rsidR="00EE37C5" w:rsidRPr="00EE37C5">
        <w:rPr>
          <w:noProof/>
        </w:rPr>
        <w:t>(Usman, 2020)</w:t>
      </w:r>
      <w:r w:rsidR="00EE37C5">
        <w:fldChar w:fldCharType="end"/>
      </w:r>
      <w:r w:rsidR="009D5757">
        <w:t>.</w:t>
      </w:r>
    </w:p>
    <w:p w14:paraId="4FE27A8F" w14:textId="1D51B81F" w:rsidR="00FF51EB" w:rsidRDefault="00EE37C5" w:rsidP="00FF51EB">
      <w:pPr>
        <w:pStyle w:val="BodyText"/>
        <w:spacing w:before="1" w:line="276" w:lineRule="auto"/>
        <w:ind w:left="277" w:right="138" w:firstLine="443"/>
        <w:jc w:val="both"/>
      </w:pPr>
      <w:proofErr w:type="spellStart"/>
      <w:r>
        <w:t>Namun</w:t>
      </w:r>
      <w:proofErr w:type="spellEnd"/>
      <w:r>
        <w:t xml:space="preserve">, di </w:t>
      </w:r>
      <w:proofErr w:type="spellStart"/>
      <w:r>
        <w:t>sisi</w:t>
      </w:r>
      <w:proofErr w:type="spellEnd"/>
      <w:r>
        <w:t xml:space="preserve"> lain </w:t>
      </w:r>
      <w:proofErr w:type="spellStart"/>
      <w:r>
        <w:t>praktik</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dianggap</w:t>
      </w:r>
      <w:proofErr w:type="spellEnd"/>
      <w:r>
        <w:t xml:space="preserve"> </w:t>
      </w:r>
      <w:proofErr w:type="spellStart"/>
      <w:r>
        <w:t>pendekatan</w:t>
      </w:r>
      <w:proofErr w:type="spellEnd"/>
      <w:r>
        <w:t xml:space="preserve"> </w:t>
      </w:r>
      <w:proofErr w:type="spellStart"/>
      <w:r>
        <w:t>simbolis</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reputasi</w:t>
      </w:r>
      <w:proofErr w:type="spellEnd"/>
      <w:r>
        <w:t xml:space="preserve"> </w:t>
      </w:r>
      <w:proofErr w:type="spellStart"/>
      <w:r>
        <w:t>perusahaan</w:t>
      </w:r>
      <w:proofErr w:type="spellEnd"/>
      <w:r>
        <w:t xml:space="preserve"> dan </w:t>
      </w:r>
      <w:proofErr w:type="spellStart"/>
      <w:r>
        <w:t>keberadaan</w:t>
      </w:r>
      <w:proofErr w:type="spellEnd"/>
      <w:r>
        <w:t xml:space="preserve"> </w:t>
      </w:r>
      <w:proofErr w:type="spellStart"/>
      <w:r>
        <w:t>mereka</w:t>
      </w:r>
      <w:proofErr w:type="spellEnd"/>
      <w:r>
        <w:t xml:space="preserve"> </w:t>
      </w:r>
      <w:r>
        <w:fldChar w:fldCharType="begin" w:fldLock="1"/>
      </w:r>
      <w:r w:rsidR="00C100C1">
        <w:instrText>ADDIN CSL_CITATION {"citationItems":[{"id":"ITEM-1","itemData":{"author":[{"dropping-particle":"","family":"Michelon","given":"Giovanna","non-dropping-particle":"","parse-names":false,"suffix":""},{"dropping-particle":"","family":"Pilonato","given":"Silvia","non-dropping-particle":"","parse-names":false,"suffix":""},{"dropping-particle":"","family":"Ricceri","given":"Federica","non-dropping-particle":"","parse-names":false,"suffix":""},{"dropping-particle":"","family":"Roberts","given":"Robin W","non-dropping-particle":"","parse-names":false,"suffix":""}],"container-title":"Sustainability Accounting, Management and Policy Journalics Management","id":"ITEM-1","issue":"1","issued":{"date-parts":[["2016"]]},"page":"2-25","title":"Behind camouflaging: traditional and innovative theoretical perspectives","type":"article-journal","volume":"7"},"uris":["http://www.mendeley.com/documents/?uuid=1c24bc9e-ea6a-421e-bd8a-dc6d525ce2a1"]}],"mendeley":{"formattedCitation":"(Michelon, Pilonato, Ricceri, &amp; Roberts, 2016)","manualFormatting":"(Michelon et al., 2016)","plainTextFormattedCitation":"(Michelon, Pilonato, Ricceri, &amp; Roberts, 2016)","previouslyFormattedCitation":"(Michelon, Pilonato, Ricceri, &amp; Roberts, 2016)"},"properties":{"noteIndex":0},"schema":"https://github.com/citation-style-language/schema/raw/master/csl-citation.json"}</w:instrText>
      </w:r>
      <w:r>
        <w:fldChar w:fldCharType="separate"/>
      </w:r>
      <w:r>
        <w:rPr>
          <w:noProof/>
        </w:rPr>
        <w:t>(M</w:t>
      </w:r>
      <w:r w:rsidRPr="005F72DF">
        <w:rPr>
          <w:noProof/>
        </w:rPr>
        <w:t>ichelon</w:t>
      </w:r>
      <w:r>
        <w:rPr>
          <w:noProof/>
        </w:rPr>
        <w:t xml:space="preserve"> et al., </w:t>
      </w:r>
      <w:r w:rsidRPr="005F72DF">
        <w:rPr>
          <w:noProof/>
        </w:rPr>
        <w:t>2016)</w:t>
      </w:r>
      <w:r>
        <w:fldChar w:fldCharType="end"/>
      </w:r>
      <w:r>
        <w:t xml:space="preserve">. Perusahaan </w:t>
      </w:r>
      <w:proofErr w:type="spellStart"/>
      <w:r w:rsidR="00613C23">
        <w:t>dapat</w:t>
      </w:r>
      <w:proofErr w:type="spellEnd"/>
      <w:r w:rsidR="00613C23">
        <w:t xml:space="preserve"> </w:t>
      </w:r>
      <w:proofErr w:type="spellStart"/>
      <w:r>
        <w:t>memanipulasi</w:t>
      </w:r>
      <w:proofErr w:type="spellEnd"/>
      <w:r>
        <w:t xml:space="preserve"> </w:t>
      </w:r>
      <w:proofErr w:type="spellStart"/>
      <w:r>
        <w:t>persepsi</w:t>
      </w:r>
      <w:proofErr w:type="spellEnd"/>
      <w:r>
        <w:t xml:space="preserve"> </w:t>
      </w:r>
      <w:proofErr w:type="spellStart"/>
      <w:r>
        <w:t>publik</w:t>
      </w:r>
      <w:proofErr w:type="spellEnd"/>
      <w:r>
        <w:t xml:space="preserve"> </w:t>
      </w:r>
      <w:proofErr w:type="spellStart"/>
      <w:r>
        <w:t>melalui</w:t>
      </w:r>
      <w:proofErr w:type="spellEnd"/>
      <w:r>
        <w:t xml:space="preserve"> strategi </w:t>
      </w:r>
      <w:proofErr w:type="spellStart"/>
      <w:r w:rsidR="00613C23">
        <w:t>tertentu</w:t>
      </w:r>
      <w:proofErr w:type="spellEnd"/>
      <w:r w:rsidR="00613C23">
        <w:t xml:space="preserve">, </w:t>
      </w:r>
      <w:proofErr w:type="spellStart"/>
      <w:r>
        <w:t>berdasarkan</w:t>
      </w:r>
      <w:proofErr w:type="spellEnd"/>
      <w:r>
        <w:t xml:space="preserve"> pada </w:t>
      </w:r>
      <w:proofErr w:type="spellStart"/>
      <w:r w:rsidR="00613C23">
        <w:t>upaya</w:t>
      </w:r>
      <w:proofErr w:type="spellEnd"/>
      <w:r w:rsidR="00613C23">
        <w:t xml:space="preserve"> yang </w:t>
      </w:r>
      <w:proofErr w:type="spellStart"/>
      <w:r w:rsidR="00613C23">
        <w:t>disengaja</w:t>
      </w:r>
      <w:proofErr w:type="spellEnd"/>
      <w:r w:rsidR="00613C23">
        <w:t xml:space="preserve"> </w:t>
      </w:r>
      <w:proofErr w:type="spellStart"/>
      <w:r w:rsidR="00613C23">
        <w:t>untuk</w:t>
      </w:r>
      <w:proofErr w:type="spellEnd"/>
      <w:r w:rsidR="00613C23">
        <w:t xml:space="preserve"> </w:t>
      </w:r>
      <w:proofErr w:type="spellStart"/>
      <w:r w:rsidR="00613C23">
        <w:t>mengalihkan</w:t>
      </w:r>
      <w:proofErr w:type="spellEnd"/>
      <w:r w:rsidR="00613C23">
        <w:t xml:space="preserve"> </w:t>
      </w:r>
      <w:proofErr w:type="spellStart"/>
      <w:r w:rsidR="00613C23">
        <w:t>perhatian</w:t>
      </w:r>
      <w:proofErr w:type="spellEnd"/>
      <w:r w:rsidR="00613C23">
        <w:t xml:space="preserve"> </w:t>
      </w:r>
      <w:proofErr w:type="spellStart"/>
      <w:r w:rsidR="00613C23">
        <w:t>publik</w:t>
      </w:r>
      <w:proofErr w:type="spellEnd"/>
      <w:r w:rsidR="00613C23">
        <w:t xml:space="preserve">. </w:t>
      </w:r>
      <w:proofErr w:type="spellStart"/>
      <w:r w:rsidR="00613C23">
        <w:t>Selain</w:t>
      </w:r>
      <w:proofErr w:type="spellEnd"/>
      <w:r w:rsidR="00613C23">
        <w:t xml:space="preserve"> </w:t>
      </w:r>
      <w:proofErr w:type="spellStart"/>
      <w:r w:rsidR="00613C23">
        <w:t>itu</w:t>
      </w:r>
      <w:proofErr w:type="spellEnd"/>
      <w:r w:rsidR="00613C23">
        <w:t xml:space="preserve">, </w:t>
      </w:r>
      <w:proofErr w:type="spellStart"/>
      <w:r w:rsidR="00613C23">
        <w:t>perusahaan</w:t>
      </w:r>
      <w:proofErr w:type="spellEnd"/>
      <w:r w:rsidR="00613C23">
        <w:t xml:space="preserve"> </w:t>
      </w:r>
      <w:proofErr w:type="spellStart"/>
      <w:r w:rsidR="00613C23">
        <w:t>berusaha</w:t>
      </w:r>
      <w:proofErr w:type="spellEnd"/>
      <w:r w:rsidR="00613C23">
        <w:t xml:space="preserve"> </w:t>
      </w:r>
      <w:proofErr w:type="spellStart"/>
      <w:r w:rsidR="00613C23">
        <w:t>untuk</w:t>
      </w:r>
      <w:proofErr w:type="spellEnd"/>
      <w:r w:rsidR="00613C23">
        <w:t xml:space="preserve"> </w:t>
      </w:r>
      <w:proofErr w:type="spellStart"/>
      <w:r w:rsidR="00613C23">
        <w:t>mengelola</w:t>
      </w:r>
      <w:proofErr w:type="spellEnd"/>
      <w:r w:rsidR="00613C23">
        <w:t xml:space="preserve"> </w:t>
      </w:r>
      <w:proofErr w:type="spellStart"/>
      <w:r w:rsidR="00613C23">
        <w:t>reputasi</w:t>
      </w:r>
      <w:proofErr w:type="spellEnd"/>
      <w:r w:rsidR="00613C23">
        <w:t xml:space="preserve"> </w:t>
      </w:r>
      <w:proofErr w:type="spellStart"/>
      <w:r w:rsidR="00613C23">
        <w:t>mereka</w:t>
      </w:r>
      <w:proofErr w:type="spellEnd"/>
      <w:r w:rsidR="00613C23">
        <w:t xml:space="preserve"> </w:t>
      </w:r>
      <w:proofErr w:type="spellStart"/>
      <w:r w:rsidR="00613C23">
        <w:t>melalui</w:t>
      </w:r>
      <w:proofErr w:type="spellEnd"/>
      <w:r w:rsidR="00613C23">
        <w:t xml:space="preserve"> </w:t>
      </w:r>
      <w:proofErr w:type="spellStart"/>
      <w:r w:rsidR="00613C23">
        <w:t>pengungkapan</w:t>
      </w:r>
      <w:proofErr w:type="spellEnd"/>
      <w:r w:rsidR="00613C23">
        <w:t xml:space="preserve"> </w:t>
      </w:r>
      <w:proofErr w:type="spellStart"/>
      <w:r w:rsidR="00613C23">
        <w:t>tanggung</w:t>
      </w:r>
      <w:proofErr w:type="spellEnd"/>
      <w:r w:rsidR="00613C23">
        <w:t xml:space="preserve"> </w:t>
      </w:r>
      <w:proofErr w:type="spellStart"/>
      <w:r w:rsidR="00613C23">
        <w:t>jawab</w:t>
      </w:r>
      <w:proofErr w:type="spellEnd"/>
      <w:r w:rsidR="00613C23">
        <w:t xml:space="preserve"> </w:t>
      </w:r>
      <w:proofErr w:type="spellStart"/>
      <w:r w:rsidR="00613C23">
        <w:t>sosial</w:t>
      </w:r>
      <w:proofErr w:type="spellEnd"/>
      <w:r w:rsidR="00613C23">
        <w:t xml:space="preserve"> </w:t>
      </w:r>
      <w:r w:rsidR="00613C23">
        <w:fldChar w:fldCharType="begin" w:fldLock="1"/>
      </w:r>
      <w:r w:rsidR="00C100C1">
        <w:instrText>ADDIN CSL_CITATION {"citationItems":[{"id":"ITEM-1","itemData":{"DOI":"10.1108/09513570210435852","ISBN":"0951357021043","ISSN":"09513574","abstract":"This paper serves as an introduction to this special issue of Accounting, Auditing &amp; Accountability Journal; an issue which embraces themes associated with social and environmental reporting (SAR) and its role in maintaining or creating organisational legitimacy. In an effort to place this research in context the paper begins by making reference to contemporary trends occurring in social and environmental accounting research generally, and this is then followed by an overview of some of the many research questions which are currently being addressed in the area. Understanding motivations for disclosure is shown to be one of the issues attracting considerable research attention, and the desire to legitimise an organisation's operations is in turn shown to be one of the many possible motivations. The role of legitimacy theory in explaining managers’ decisions is then discussed and it is emphasised that legitimacy theory, as it is currently used, must still be considered to be a relatively under-developed theory of managerial behaviour. Nevertheless, it is argued that the theory provides useful insights. Finally, the paper indicates how the other papers in this issue of AAAJ contribute to the ongoing development of legitimacy theory in SAR research. © 2002, MCB UP Limited","author":[{"dropping-particle":"","family":"Deegan","given":"Craig","non-dropping-particle":"","parse-names":false,"suffix":""}],"container-title":"Accounting, Auditing &amp; Accountability Journal","id":"ITEM-1","issue":"3","issued":{"date-parts":[["2002"]]},"page":"282-311","title":"Introduction: The legitimising effect of social and environmental disclosures – a theoretical foundation","type":"article-journal","volume":"15"},"uris":["http://www.mendeley.com/documents/?uuid=de491be7-78c1-4981-8623-e23542e31267"]}],"mendeley":{"formattedCitation":"(Deegan, 2002)","plainTextFormattedCitation":"(Deegan, 2002)","previouslyFormattedCitation":"(Deegan, 2002)"},"properties":{"noteIndex":0},"schema":"https://github.com/citation-style-language/schema/raw/master/csl-citation.json"}</w:instrText>
      </w:r>
      <w:r w:rsidR="00613C23">
        <w:fldChar w:fldCharType="separate"/>
      </w:r>
      <w:r w:rsidR="00613C23" w:rsidRPr="00613C23">
        <w:rPr>
          <w:noProof/>
        </w:rPr>
        <w:t>(Deegan, 2002)</w:t>
      </w:r>
      <w:r w:rsidR="00613C23">
        <w:fldChar w:fldCharType="end"/>
      </w:r>
      <w:r w:rsidR="00613C23">
        <w:t>.</w:t>
      </w:r>
    </w:p>
    <w:p w14:paraId="496BB27E" w14:textId="77777777" w:rsidR="00FF51EB" w:rsidRDefault="00FF51EB" w:rsidP="00FF51EB">
      <w:pPr>
        <w:ind w:left="284" w:right="222" w:firstLine="436"/>
        <w:jc w:val="both"/>
      </w:pPr>
      <w:r>
        <w:t xml:space="preserve">Perusahaan yang </w:t>
      </w:r>
      <w:proofErr w:type="spellStart"/>
      <w:r>
        <w:t>menjadi</w:t>
      </w:r>
      <w:proofErr w:type="spellEnd"/>
      <w:r>
        <w:t xml:space="preserve">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perusahaan</w:t>
      </w:r>
      <w:proofErr w:type="spellEnd"/>
      <w:r>
        <w:t xml:space="preserve"> di </w:t>
      </w:r>
      <w:proofErr w:type="spellStart"/>
      <w:r>
        <w:t>sektor</w:t>
      </w:r>
      <w:proofErr w:type="spellEnd"/>
      <w:r>
        <w:t xml:space="preserve"> </w:t>
      </w:r>
      <w:proofErr w:type="spellStart"/>
      <w:r>
        <w:t>perbankan</w:t>
      </w:r>
      <w:proofErr w:type="spellEnd"/>
      <w:r>
        <w:t xml:space="preserve"> yang </w:t>
      </w:r>
      <w:proofErr w:type="spellStart"/>
      <w:r>
        <w:t>memiliki</w:t>
      </w:r>
      <w:proofErr w:type="spellEnd"/>
      <w:r>
        <w:t xml:space="preserve"> </w:t>
      </w:r>
      <w:proofErr w:type="spellStart"/>
      <w:r>
        <w:t>reputasi</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perusahaan</w:t>
      </w:r>
      <w:proofErr w:type="spellEnd"/>
      <w:r>
        <w:t xml:space="preserve"> di </w:t>
      </w:r>
      <w:proofErr w:type="spellStart"/>
      <w:r>
        <w:t>sektor</w:t>
      </w:r>
      <w:proofErr w:type="spellEnd"/>
      <w:r>
        <w:t xml:space="preserve"> </w:t>
      </w:r>
      <w:proofErr w:type="spellStart"/>
      <w:r>
        <w:t>sejenisnya</w:t>
      </w:r>
      <w:proofErr w:type="spellEnd"/>
      <w:r>
        <w:t xml:space="preserve"> di Indonesia. </w:t>
      </w:r>
      <w:proofErr w:type="spellStart"/>
      <w:r>
        <w:t>Reputasi</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dinilai</w:t>
      </w:r>
      <w:proofErr w:type="spellEnd"/>
      <w:r>
        <w:t xml:space="preserve"> </w:t>
      </w:r>
      <w:proofErr w:type="spellStart"/>
      <w:r>
        <w:t>berdasarkan</w:t>
      </w:r>
      <w:proofErr w:type="spellEnd"/>
      <w:r>
        <w:t xml:space="preserve"> pada 4 </w:t>
      </w:r>
      <w:proofErr w:type="spellStart"/>
      <w:r>
        <w:t>dimensi</w:t>
      </w:r>
      <w:proofErr w:type="spellEnd"/>
      <w:r>
        <w:t xml:space="preserve"> </w:t>
      </w:r>
      <w:proofErr w:type="spellStart"/>
      <w:r>
        <w:t>yaitu</w:t>
      </w:r>
      <w:proofErr w:type="spellEnd"/>
      <w:r>
        <w:t xml:space="preserve"> Quality, Performance, </w:t>
      </w:r>
      <w:proofErr w:type="spellStart"/>
      <w:r>
        <w:t>Repsonsibility</w:t>
      </w:r>
      <w:proofErr w:type="spellEnd"/>
      <w:r>
        <w:t xml:space="preserve">, dan Attractiveness. Yang mana </w:t>
      </w:r>
      <w:proofErr w:type="spellStart"/>
      <w:r>
        <w:t>penggunaan</w:t>
      </w:r>
      <w:proofErr w:type="spellEnd"/>
      <w:r>
        <w:t xml:space="preserve"> 4 </w:t>
      </w:r>
      <w:proofErr w:type="spellStart"/>
      <w:r>
        <w:t>dimensi</w:t>
      </w:r>
      <w:proofErr w:type="spellEnd"/>
      <w:r>
        <w:t xml:space="preserve"> </w:t>
      </w:r>
      <w:proofErr w:type="spellStart"/>
      <w:r>
        <w:t>tersebut</w:t>
      </w:r>
      <w:proofErr w:type="spellEnd"/>
      <w:r>
        <w:t xml:space="preserve"> </w:t>
      </w:r>
      <w:proofErr w:type="spellStart"/>
      <w:r>
        <w:t>didasarkan</w:t>
      </w:r>
      <w:proofErr w:type="spellEnd"/>
      <w:r>
        <w:t xml:space="preserve"> pada </w:t>
      </w:r>
      <w:proofErr w:type="spellStart"/>
      <w:r>
        <w:t>hasil</w:t>
      </w:r>
      <w:proofErr w:type="spellEnd"/>
      <w:r>
        <w:t xml:space="preserve"> survey yang </w:t>
      </w:r>
      <w:proofErr w:type="spellStart"/>
      <w:r>
        <w:t>dilakukan</w:t>
      </w:r>
      <w:proofErr w:type="spellEnd"/>
      <w:r>
        <w:t xml:space="preserve"> oleh Frontier Consulting Group yang </w:t>
      </w:r>
      <w:proofErr w:type="spellStart"/>
      <w:r>
        <w:t>menunjukkan</w:t>
      </w:r>
      <w:proofErr w:type="spellEnd"/>
      <w:r>
        <w:t xml:space="preserve"> output </w:t>
      </w:r>
      <w:proofErr w:type="spellStart"/>
      <w:r>
        <w:t>suvery</w:t>
      </w:r>
      <w:proofErr w:type="spellEnd"/>
      <w:r>
        <w:t xml:space="preserve"> </w:t>
      </w:r>
      <w:proofErr w:type="spellStart"/>
      <w:r>
        <w:t>mereka</w:t>
      </w:r>
      <w:proofErr w:type="spellEnd"/>
      <w:r>
        <w:t xml:space="preserve"> pada “Corporate Image Award”. Survey </w:t>
      </w:r>
      <w:proofErr w:type="spellStart"/>
      <w:r>
        <w:t>tersebut</w:t>
      </w:r>
      <w:proofErr w:type="spellEnd"/>
      <w:r>
        <w:t xml:space="preserve"> </w:t>
      </w:r>
      <w:proofErr w:type="spellStart"/>
      <w:r>
        <w:t>dilakukan</w:t>
      </w:r>
      <w:proofErr w:type="spellEnd"/>
      <w:r>
        <w:t xml:space="preserve"> oleh Frontier Consulting Group </w:t>
      </w:r>
      <w:proofErr w:type="spellStart"/>
      <w:r>
        <w:t>menggunakan</w:t>
      </w:r>
      <w:proofErr w:type="spellEnd"/>
      <w:r>
        <w:t xml:space="preserve"> 3000 </w:t>
      </w:r>
      <w:proofErr w:type="spellStart"/>
      <w:r>
        <w:t>responden</w:t>
      </w:r>
      <w:proofErr w:type="spellEnd"/>
      <w:r>
        <w:t xml:space="preserve"> </w:t>
      </w:r>
      <w:proofErr w:type="spellStart"/>
      <w:r>
        <w:t>dalam</w:t>
      </w:r>
      <w:proofErr w:type="spellEnd"/>
      <w:r>
        <w:t xml:space="preserve"> </w:t>
      </w:r>
      <w:proofErr w:type="spellStart"/>
      <w:r>
        <w:t>rentang</w:t>
      </w:r>
      <w:proofErr w:type="spellEnd"/>
      <w:r>
        <w:t xml:space="preserve"> </w:t>
      </w:r>
      <w:proofErr w:type="spellStart"/>
      <w:r>
        <w:t>waktu</w:t>
      </w:r>
      <w:proofErr w:type="spellEnd"/>
      <w:r>
        <w:t xml:space="preserve"> </w:t>
      </w:r>
      <w:proofErr w:type="spellStart"/>
      <w:r>
        <w:t>dari</w:t>
      </w:r>
      <w:proofErr w:type="spellEnd"/>
      <w:r>
        <w:t xml:space="preserve"> </w:t>
      </w:r>
      <w:proofErr w:type="spellStart"/>
      <w:r>
        <w:t>tahun</w:t>
      </w:r>
      <w:proofErr w:type="spellEnd"/>
      <w:r>
        <w:t xml:space="preserve"> 2017-2019.</w:t>
      </w:r>
    </w:p>
    <w:p w14:paraId="12079F01" w14:textId="640F1593" w:rsidR="00FF51EB" w:rsidRDefault="00FF51EB" w:rsidP="00FF51EB">
      <w:pPr>
        <w:ind w:left="284" w:right="222" w:firstLine="436"/>
        <w:jc w:val="both"/>
      </w:pPr>
      <w:r>
        <w:t xml:space="preserve">Pada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menjadikan</w:t>
      </w:r>
      <w:proofErr w:type="spellEnd"/>
      <w:r>
        <w:t xml:space="preserve"> </w:t>
      </w:r>
      <w:proofErr w:type="spellStart"/>
      <w:r>
        <w:t>variabel</w:t>
      </w:r>
      <w:proofErr w:type="spellEnd"/>
      <w:r>
        <w:t xml:space="preserve"> </w:t>
      </w:r>
      <w:proofErr w:type="spellStart"/>
      <w:r>
        <w:t>reputasi</w:t>
      </w:r>
      <w:proofErr w:type="spellEnd"/>
      <w:r>
        <w:t xml:space="preserve"> </w:t>
      </w:r>
      <w:proofErr w:type="spellStart"/>
      <w:r>
        <w:t>perusahaan</w:t>
      </w:r>
      <w:proofErr w:type="spellEnd"/>
      <w:r>
        <w:t xml:space="preserve"> </w:t>
      </w:r>
      <w:proofErr w:type="spellStart"/>
      <w:r>
        <w:t>sebagai</w:t>
      </w:r>
      <w:proofErr w:type="spellEnd"/>
      <w:r>
        <w:t xml:space="preserve"> </w:t>
      </w:r>
      <w:proofErr w:type="spellStart"/>
      <w:r>
        <w:t>faktor</w:t>
      </w:r>
      <w:proofErr w:type="spellEnd"/>
      <w:r>
        <w:t xml:space="preserve"> yang </w:t>
      </w:r>
      <w:proofErr w:type="spellStart"/>
      <w:r>
        <w:t>memengaruhi</w:t>
      </w:r>
      <w:proofErr w:type="spellEnd"/>
      <w:r>
        <w:t xml:space="preserve">. </w:t>
      </w:r>
      <w:proofErr w:type="spellStart"/>
      <w:r>
        <w:t>Penelitian-peneitian</w:t>
      </w:r>
      <w:proofErr w:type="spellEnd"/>
      <w:r>
        <w:t xml:space="preserve"> </w:t>
      </w:r>
      <w:proofErr w:type="spellStart"/>
      <w:r>
        <w:t>sebelumnya</w:t>
      </w:r>
      <w:proofErr w:type="spellEnd"/>
      <w:r>
        <w:t xml:space="preserve"> </w:t>
      </w:r>
      <w:proofErr w:type="spellStart"/>
      <w:r>
        <w:t>menempatkan</w:t>
      </w:r>
      <w:proofErr w:type="spellEnd"/>
      <w:r>
        <w:t xml:space="preserve"> </w:t>
      </w:r>
      <w:proofErr w:type="spellStart"/>
      <w:r>
        <w:t>reputasi</w:t>
      </w:r>
      <w:proofErr w:type="spellEnd"/>
      <w:r>
        <w:t xml:space="preserve"> </w:t>
      </w:r>
      <w:proofErr w:type="spellStart"/>
      <w:r>
        <w:t>perusahaan</w:t>
      </w:r>
      <w:proofErr w:type="spellEnd"/>
      <w:r>
        <w:t xml:space="preserve"> </w:t>
      </w:r>
      <w:proofErr w:type="spellStart"/>
      <w:r>
        <w:t>sebagai</w:t>
      </w:r>
      <w:proofErr w:type="spellEnd"/>
      <w:r>
        <w:t xml:space="preserve"> </w:t>
      </w:r>
      <w:proofErr w:type="spellStart"/>
      <w:r>
        <w:t>variabel</w:t>
      </w:r>
      <w:proofErr w:type="spellEnd"/>
      <w:r>
        <w:t xml:space="preserve"> yang </w:t>
      </w:r>
      <w:proofErr w:type="spellStart"/>
      <w:r>
        <w:t>dipengaruhi</w:t>
      </w:r>
      <w:proofErr w:type="spellEnd"/>
      <w:r>
        <w:t xml:space="preserve"> oleh </w:t>
      </w:r>
      <w:proofErr w:type="spellStart"/>
      <w:r>
        <w:t>banyak</w:t>
      </w:r>
      <w:proofErr w:type="spellEnd"/>
      <w:r>
        <w:t xml:space="preserve"> </w:t>
      </w:r>
      <w:proofErr w:type="spellStart"/>
      <w:r>
        <w:t>faktor</w:t>
      </w:r>
      <w:proofErr w:type="spellEnd"/>
      <w:r>
        <w:t xml:space="preserve">. </w:t>
      </w:r>
      <w:r w:rsidR="00C100C1">
        <w:fldChar w:fldCharType="begin" w:fldLock="1"/>
      </w:r>
      <w:r w:rsidR="00C100C1">
        <w:instrText>ADDIN CSL_CITATION {"citationItems":[{"id":"ITEM-1","itemData":{"DOI":"10.1108/MEQ-12-2017-0149/FULL/HTML","abstract":"Purpose: Sustainability reporting has been widely adopted by firms worldwide given the need of stakeholders for more transparency on environmental, social and governance (ESG) issues. The purpose of this paper is to investigate the relationship between ESG and bank’s operational (Return on Assets), financial (Return on Equity) and market performance (Tobin’s Q). Design/methodology/approach: This study examined 235 banks for ten years (2007-2016) to ends up with 2,350 observations. The independent variable is the ESG disclosure; the dependent variables are performance indicators (return on assets, return on equity and Tobin’s Q). Two type of control variables are utilized in this study: bank specific and macroeconomic. Findings: The findings deduced from the empirical results demonstrate that there is significant positive impact of ESG on the performance. However, the relationship between ESG disclosures is vary if measured individually; the environmental disclosure found positively affect the ROA and TQ. Whereas, the corporate social responsibility disclosure is negatively affect the three models. However, the corporate governance disclosure found negatively affects the ROA, ROE and positively affects the Tobin’s Q. Originality/value: The results of this study can be used to present a successful model for worldwide banks to concentrate on the role of ESG disclosure in performance.","author":[{"dropping-particle":"","family":"Buallay","given":"Amina","non-dropping-particle":"","parse-names":false,"suffix":""}],"container-title":"Management of Environmental Quality: An International Journal","id":"ITEM-1","issue":"1","issued":{"date-parts":[["2019","1","7"]]},"page":"98-115","publisher":"Emerald Group Holdings Ltd.","title":"Is sustainability reporting (ESG) associated with performance? Evidence from the European banking sector","type":"article-journal","volume":"30"},"uris":["http://www.mendeley.com/documents/?uuid=ad654348-d758-39aa-a988-3994707e3082"]}],"mendeley":{"formattedCitation":"(Buallay, 2019)","manualFormatting":"Buallay (2019)","plainTextFormattedCitation":"(Buallay, 2019)","previouslyFormattedCitation":"(Buallay, 2019)"},"properties":{"noteIndex":0},"schema":"https://github.com/citation-style-language/schema/raw/master/csl-citation.json"}</w:instrText>
      </w:r>
      <w:r w:rsidR="00C100C1">
        <w:fldChar w:fldCharType="separate"/>
      </w:r>
      <w:r w:rsidR="00C100C1" w:rsidRPr="00C100C1">
        <w:rPr>
          <w:noProof/>
        </w:rPr>
        <w:t xml:space="preserve">Buallay </w:t>
      </w:r>
      <w:r w:rsidR="00C100C1">
        <w:rPr>
          <w:noProof/>
        </w:rPr>
        <w:t>(</w:t>
      </w:r>
      <w:r w:rsidR="00C100C1" w:rsidRPr="00C100C1">
        <w:rPr>
          <w:noProof/>
        </w:rPr>
        <w:t>2019)</w:t>
      </w:r>
      <w:r w:rsidR="00C100C1">
        <w:fldChar w:fldCharType="end"/>
      </w:r>
      <w:r>
        <w:t xml:space="preserve"> </w:t>
      </w:r>
      <w:r w:rsidR="00C100C1">
        <w:t xml:space="preserve">dan </w:t>
      </w:r>
      <w:r w:rsidR="00C100C1">
        <w:fldChar w:fldCharType="begin" w:fldLock="1"/>
      </w:r>
      <w:r w:rsidR="00C100C1">
        <w:instrText>ADDIN CSL_CITATION {"citationItems":[{"id":"ITEM-1","itemData":{"author":[{"dropping-particle":"","family":"Lourenço","given":"IC","non-dropping-particle":"","parse-names":false,"suffix":""},{"dropping-particle":"","family":"Production","given":"MC Branco - Journal of Cleaner","non-dropping-particle":"","parse-names":false,"suffix":""},{"dropping-particle":"","family":"2013","given":"undefined","non-dropping-particle":"","parse-names":false,"suffix":""}],"container-title":"Elsevier","id":"ITEM-1","issued":{"date-parts":[["0"]]},"title":"Determinants of corporate sustainability performance in emerging markets: the Brazilian case","type":"article-journal"},"uris":["http://www.mendeley.com/documents/?uuid=12470009-c61f-3092-8b52-5362d77e56fc"]}],"mendeley":{"formattedCitation":"(Lourenço, Production, &amp; 2013, n.d.)","manualFormatting":"Lourenço (2013)","plainTextFormattedCitation":"(Lourenço, Production, &amp; 2013, n.d.)","previouslyFormattedCitation":"(Lourenço, Production, &amp; 2013, n.d.)"},"properties":{"noteIndex":0},"schema":"https://github.com/citation-style-language/schema/raw/master/csl-citation.json"}</w:instrText>
      </w:r>
      <w:r w:rsidR="00C100C1">
        <w:fldChar w:fldCharType="separate"/>
      </w:r>
      <w:r w:rsidR="00C100C1" w:rsidRPr="00C100C1">
        <w:rPr>
          <w:noProof/>
        </w:rPr>
        <w:t xml:space="preserve">Lourenço </w:t>
      </w:r>
      <w:r w:rsidR="00C100C1">
        <w:rPr>
          <w:noProof/>
        </w:rPr>
        <w:t>(</w:t>
      </w:r>
      <w:r w:rsidR="00C100C1" w:rsidRPr="00C100C1">
        <w:rPr>
          <w:noProof/>
        </w:rPr>
        <w:t>2013)</w:t>
      </w:r>
      <w:r w:rsidR="00C100C1">
        <w:fldChar w:fldCharType="end"/>
      </w:r>
      <w:r w:rsidR="00C100C1">
        <w:t xml:space="preserve"> </w:t>
      </w:r>
      <w:proofErr w:type="spellStart"/>
      <w:r>
        <w:t>menyatakan</w:t>
      </w:r>
      <w:proofErr w:type="spellEnd"/>
      <w:r>
        <w:t xml:space="preserve"> </w:t>
      </w:r>
      <w:proofErr w:type="spellStart"/>
      <w:r>
        <w:t>bahwa</w:t>
      </w:r>
      <w:proofErr w:type="spellEnd"/>
      <w:r>
        <w:t xml:space="preserve"> </w:t>
      </w:r>
      <w:proofErr w:type="spellStart"/>
      <w:r>
        <w:t>pembentuk</w:t>
      </w:r>
      <w:proofErr w:type="spellEnd"/>
      <w:r>
        <w:t xml:space="preserve"> </w:t>
      </w:r>
      <w:proofErr w:type="spellStart"/>
      <w:r>
        <w:t>keunggulan</w:t>
      </w:r>
      <w:proofErr w:type="spellEnd"/>
      <w:r>
        <w:t xml:space="preserve"> </w:t>
      </w:r>
      <w:proofErr w:type="spellStart"/>
      <w:r>
        <w:t>daya</w:t>
      </w:r>
      <w:proofErr w:type="spellEnd"/>
      <w:r>
        <w:t xml:space="preserve"> </w:t>
      </w:r>
      <w:proofErr w:type="spellStart"/>
      <w:r>
        <w:t>saing</w:t>
      </w:r>
      <w:proofErr w:type="spellEnd"/>
      <w:r>
        <w:t xml:space="preserve"> </w:t>
      </w:r>
      <w:proofErr w:type="spellStart"/>
      <w:r>
        <w:t>berkelanjutan</w:t>
      </w:r>
      <w:proofErr w:type="spellEnd"/>
      <w:r>
        <w:t xml:space="preserve"> </w:t>
      </w:r>
      <w:proofErr w:type="spellStart"/>
      <w:r>
        <w:t>berdasarkan</w:t>
      </w:r>
      <w:proofErr w:type="spellEnd"/>
      <w:r>
        <w:t xml:space="preserve"> </w:t>
      </w:r>
      <w:proofErr w:type="spellStart"/>
      <w:r>
        <w:t>reputasi</w:t>
      </w:r>
      <w:proofErr w:type="spellEnd"/>
      <w:r>
        <w:t xml:space="preserve"> </w:t>
      </w:r>
      <w:proofErr w:type="spellStart"/>
      <w:r>
        <w:t>perusahaan</w:t>
      </w:r>
      <w:proofErr w:type="spellEnd"/>
      <w:r>
        <w:t xml:space="preserve"> yang </w:t>
      </w:r>
      <w:proofErr w:type="spellStart"/>
      <w:r>
        <w:t>mengacu</w:t>
      </w:r>
      <w:proofErr w:type="spellEnd"/>
      <w:r>
        <w:t xml:space="preserve"> pada </w:t>
      </w:r>
      <w:proofErr w:type="spellStart"/>
      <w:r>
        <w:t>ukuran</w:t>
      </w:r>
      <w:proofErr w:type="spellEnd"/>
      <w:r>
        <w:t xml:space="preserve"> </w:t>
      </w:r>
      <w:proofErr w:type="spellStart"/>
      <w:r>
        <w:t>akuntansi</w:t>
      </w:r>
      <w:proofErr w:type="spellEnd"/>
      <w:r>
        <w:t xml:space="preserve"> yang paling </w:t>
      </w:r>
      <w:proofErr w:type="spellStart"/>
      <w:r>
        <w:t>berpengaruh</w:t>
      </w:r>
      <w:proofErr w:type="spellEnd"/>
      <w:r>
        <w:t xml:space="preserve"> </w:t>
      </w:r>
      <w:proofErr w:type="spellStart"/>
      <w:r>
        <w:t>signifikan</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adalah</w:t>
      </w:r>
      <w:proofErr w:type="spellEnd"/>
      <w:r>
        <w:t xml:space="preserve"> return on equity, return on assets, dan dividend payout ratio. </w:t>
      </w:r>
      <w:proofErr w:type="spellStart"/>
      <w:r>
        <w:t>Penelitian</w:t>
      </w:r>
      <w:proofErr w:type="spellEnd"/>
      <w:r>
        <w:t xml:space="preserve"> </w:t>
      </w:r>
      <w:proofErr w:type="spellStart"/>
      <w:r>
        <w:t>tersebut</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r w:rsidR="00C100C1">
        <w:t>(</w:t>
      </w:r>
      <w:r w:rsidR="00C100C1">
        <w:fldChar w:fldCharType="begin" w:fldLock="1"/>
      </w:r>
      <w:r w:rsidR="00AB5E21">
        <w:instrText>ADDIN CSL_CITATION {"citationItems":[{"id":"ITEM-1","itemData":{"abstract":"Purpose Supported by the principles of the legitimacy theory, the purpose of this paper is to explore the relationship that exists between the information quality of the corporate social responsibility (CSR) reporting provided by the most liquid companies operating in the Spanish Stock Market and their corporate reputation. Design/methodology/approach Three regression models are tested with panel data collected for a sample of the 35 most liquid companies operating in the Spanish Stock Market between 2004 and 2014. Findings The findings show that two axes of information quality (i.e. content and management systems) should be necessarily controlled by companies in order to improve their corporate reputation through their CSR reporting. The content axis refers to the compliance of CSR reports with the provision of qualitative, quantitative, and evaluative information concerning the impacts of the CSR of the company on society and the environment. The management systems axis refers to the compliance of CSR reports with the disclosure of details about the policies, plans, and actions that companies implement to assure an effective management of CSR initiatives. Originality/value Previous literature exploring the relationship between corporate reporting and reputation has frequently focused on either the impact of the quantity of financial and CSR information reported by companies and the role of information quality, but only in reference to a number of specific themes (environment, customers) and not to the full range of information covered by CSR reports. The authors of this paper extend on previous academic literature by empirically evaluating the relationship between two dimensions of the information quality of CSR reporting (content and management systems) and the corporate reputation of companies operating in the Spanish Stock Market.","author":[{"dropping-particle":"","family":"Pérez","given":"Andrea","non-dropping-particle":"","parse-names":false,"suffix":""},{"dropping-particle":"","family":"Lopez-Gutierrez","given":"Carlos","non-dropping-particle":"","parse-names":false,"suffix":""}],"container-title":"Academia Revista Latinoamericana de Administración","id":"ITEM-1","issued":{"date-parts":[["2017"]]},"title":"An empirical analysis of the relationship between the information quality of CSR reporting and reputation among publicly traded companies in Spain","type":"article-journal"},"uris":["http://www.mendeley.com/documents/?uuid=e20405b5-b528-3678-8431-5a09bcae96cf"]}],"mendeley":{"formattedCitation":"(Pérez &amp; Lopez-Gutierrez, 2017)","manualFormatting":"Pérez &amp; Lopez-Gutierrez, 2017)","plainTextFormattedCitation":"(Pérez &amp; Lopez-Gutierrez, 2017)","previouslyFormattedCitation":"(Pérez &amp; Lopez-Gutierrez, 2017)"},"properties":{"noteIndex":0},"schema":"https://github.com/citation-style-language/schema/raw/master/csl-citation.json"}</w:instrText>
      </w:r>
      <w:r w:rsidR="00C100C1">
        <w:fldChar w:fldCharType="separate"/>
      </w:r>
      <w:r w:rsidR="00C100C1" w:rsidRPr="00C100C1">
        <w:rPr>
          <w:noProof/>
        </w:rPr>
        <w:t>Pérez &amp; Lopez-Gutierrez</w:t>
      </w:r>
      <w:r w:rsidR="00C100C1">
        <w:rPr>
          <w:noProof/>
        </w:rPr>
        <w:t xml:space="preserve">, </w:t>
      </w:r>
      <w:r w:rsidR="00C100C1" w:rsidRPr="00C100C1">
        <w:rPr>
          <w:noProof/>
        </w:rPr>
        <w:t>2017)</w:t>
      </w:r>
      <w:r w:rsidR="00C100C1">
        <w:fldChar w:fldCharType="end"/>
      </w:r>
      <w:r w:rsidR="00C100C1">
        <w:t xml:space="preserve"> </w:t>
      </w:r>
      <w:r>
        <w:t xml:space="preserve">yang </w:t>
      </w:r>
      <w:proofErr w:type="spellStart"/>
      <w:r>
        <w:t>men</w:t>
      </w:r>
      <w:r w:rsidR="00C100C1">
        <w:t>e</w:t>
      </w:r>
      <w:r>
        <w:t>lit</w:t>
      </w:r>
      <w:r w:rsidR="00C100C1">
        <w:t>i</w:t>
      </w:r>
      <w:proofErr w:type="spellEnd"/>
      <w:r>
        <w:t xml:space="preserve"> </w:t>
      </w:r>
      <w:proofErr w:type="spellStart"/>
      <w:r>
        <w:t>pembentuk</w:t>
      </w:r>
      <w:proofErr w:type="spellEnd"/>
      <w:r>
        <w:t xml:space="preserve"> </w:t>
      </w:r>
      <w:proofErr w:type="spellStart"/>
      <w:r>
        <w:t>reputasi</w:t>
      </w:r>
      <w:proofErr w:type="spellEnd"/>
      <w:r>
        <w:t xml:space="preserve"> </w:t>
      </w:r>
      <w:proofErr w:type="spellStart"/>
      <w:r>
        <w:t>perusahaan</w:t>
      </w:r>
      <w:proofErr w:type="spellEnd"/>
      <w:r>
        <w:t xml:space="preserve"> yang paling </w:t>
      </w:r>
      <w:proofErr w:type="spellStart"/>
      <w:r>
        <w:t>berpengaruh</w:t>
      </w:r>
      <w:proofErr w:type="spellEnd"/>
      <w:r>
        <w:t xml:space="preserve"> </w:t>
      </w:r>
      <w:proofErr w:type="spellStart"/>
      <w:r>
        <w:t>secara</w:t>
      </w:r>
      <w:proofErr w:type="spellEnd"/>
      <w:r>
        <w:t xml:space="preserve"> </w:t>
      </w:r>
      <w:proofErr w:type="spellStart"/>
      <w:r>
        <w:t>berurutan</w:t>
      </w:r>
      <w:proofErr w:type="spellEnd"/>
      <w:r>
        <w:t xml:space="preserve"> </w:t>
      </w:r>
      <w:proofErr w:type="spellStart"/>
      <w:r>
        <w:t>adalah</w:t>
      </w:r>
      <w:proofErr w:type="spellEnd"/>
      <w:r>
        <w:t xml:space="preserve"> ROA, ROE, dividend payout ratio, dan </w:t>
      </w:r>
      <w:proofErr w:type="spellStart"/>
      <w:r>
        <w:t>pertumbuhan</w:t>
      </w:r>
      <w:proofErr w:type="spellEnd"/>
      <w:r>
        <w:t xml:space="preserve"> </w:t>
      </w:r>
      <w:proofErr w:type="spellStart"/>
      <w:r>
        <w:t>laba</w:t>
      </w:r>
      <w:proofErr w:type="spellEnd"/>
      <w:r>
        <w:t xml:space="preserve"> </w:t>
      </w:r>
      <w:proofErr w:type="spellStart"/>
      <w:r>
        <w:t>bersih</w:t>
      </w:r>
      <w:proofErr w:type="spellEnd"/>
      <w:r>
        <w:t>.</w:t>
      </w:r>
    </w:p>
    <w:p w14:paraId="311BE3FA" w14:textId="77B19979" w:rsidR="00DA487C" w:rsidRDefault="00CB0F0E" w:rsidP="00FF51EB">
      <w:pPr>
        <w:pStyle w:val="BodyText"/>
        <w:spacing w:before="1" w:line="276" w:lineRule="auto"/>
        <w:ind w:left="277" w:right="138" w:firstLine="443"/>
        <w:jc w:val="both"/>
      </w:pP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beberapa</w:t>
      </w:r>
      <w:proofErr w:type="spellEnd"/>
      <w:r>
        <w:t xml:space="preserve"> </w:t>
      </w:r>
      <w:proofErr w:type="spellStart"/>
      <w:r>
        <w:t>kontribusi</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Pertama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mengusulkan</w:t>
      </w:r>
      <w:proofErr w:type="spellEnd"/>
      <w:r>
        <w:t xml:space="preserve"> </w:t>
      </w:r>
      <w:proofErr w:type="spellStart"/>
      <w:r>
        <w:t>pengukuran</w:t>
      </w:r>
      <w:proofErr w:type="spellEnd"/>
      <w:r>
        <w:t xml:space="preserve"> </w:t>
      </w:r>
      <w:proofErr w:type="spellStart"/>
      <w:r>
        <w:t>baru</w:t>
      </w:r>
      <w:proofErr w:type="spellEnd"/>
      <w:r>
        <w:t xml:space="preserve"> </w:t>
      </w:r>
      <w:proofErr w:type="spellStart"/>
      <w:r>
        <w:t>untuk</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lastRenderedPageBreak/>
        <w:t>jawab</w:t>
      </w:r>
      <w:proofErr w:type="spellEnd"/>
      <w:r>
        <w:t xml:space="preserve"> </w:t>
      </w:r>
      <w:proofErr w:type="spellStart"/>
      <w:r>
        <w:t>sosial</w:t>
      </w:r>
      <w:proofErr w:type="spellEnd"/>
      <w:r>
        <w:t xml:space="preserve"> </w:t>
      </w:r>
      <w:proofErr w:type="spellStart"/>
      <w:r>
        <w:t>menggunakan</w:t>
      </w:r>
      <w:proofErr w:type="spellEnd"/>
      <w:r>
        <w:t xml:space="preserve"> </w:t>
      </w:r>
      <w:proofErr w:type="spellStart"/>
      <w:r>
        <w:t>empat</w:t>
      </w:r>
      <w:proofErr w:type="spellEnd"/>
      <w:r>
        <w:t xml:space="preserve"> </w:t>
      </w:r>
      <w:proofErr w:type="spellStart"/>
      <w:r>
        <w:t>karakteristik</w:t>
      </w:r>
      <w:proofErr w:type="spellEnd"/>
      <w:r>
        <w:t xml:space="preserve"> </w:t>
      </w:r>
      <w:r>
        <w:rPr>
          <w:i/>
          <w:iCs/>
        </w:rPr>
        <w:t xml:space="preserve">Conceptual Framework </w:t>
      </w:r>
      <w:proofErr w:type="spellStart"/>
      <w:r>
        <w:t>dari</w:t>
      </w:r>
      <w:proofErr w:type="spellEnd"/>
      <w:r>
        <w:t xml:space="preserve"> </w:t>
      </w:r>
      <w:r>
        <w:rPr>
          <w:i/>
          <w:iCs/>
        </w:rPr>
        <w:t xml:space="preserve">International Financial Reporting </w:t>
      </w:r>
      <w:r w:rsidRPr="00F3129D">
        <w:rPr>
          <w:i/>
          <w:iCs/>
        </w:rPr>
        <w:t>Standards</w:t>
      </w:r>
      <w:r>
        <w:t xml:space="preserve"> </w:t>
      </w:r>
      <w:proofErr w:type="spellStart"/>
      <w:r>
        <w:t>yaitu</w:t>
      </w:r>
      <w:proofErr w:type="spellEnd"/>
      <w:r>
        <w:t xml:space="preserve"> </w:t>
      </w:r>
      <w:r>
        <w:rPr>
          <w:i/>
          <w:iCs/>
        </w:rPr>
        <w:t>relevance</w:t>
      </w:r>
      <w:r>
        <w:t xml:space="preserve">, </w:t>
      </w:r>
      <w:r>
        <w:rPr>
          <w:i/>
          <w:iCs/>
        </w:rPr>
        <w:t>faithful representation</w:t>
      </w:r>
      <w:r>
        <w:t xml:space="preserve">, </w:t>
      </w:r>
      <w:r>
        <w:rPr>
          <w:i/>
          <w:iCs/>
        </w:rPr>
        <w:t>understandability</w:t>
      </w:r>
      <w:r>
        <w:t xml:space="preserve">, dan </w:t>
      </w:r>
      <w:r>
        <w:rPr>
          <w:i/>
          <w:iCs/>
        </w:rPr>
        <w:t>comparability</w:t>
      </w:r>
      <w:r>
        <w:t xml:space="preserve">. </w:t>
      </w:r>
      <w:proofErr w:type="spellStart"/>
      <w:r>
        <w:t>Kedua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mengusulkan</w:t>
      </w:r>
      <w:proofErr w:type="spellEnd"/>
      <w:r>
        <w:t xml:space="preserve"> </w:t>
      </w:r>
      <w:proofErr w:type="spellStart"/>
      <w:r>
        <w:t>pengukuran</w:t>
      </w:r>
      <w:proofErr w:type="spellEnd"/>
      <w:r>
        <w:t xml:space="preserve"> </w:t>
      </w:r>
      <w:proofErr w:type="spellStart"/>
      <w:r>
        <w:t>baru</w:t>
      </w:r>
      <w:proofErr w:type="spellEnd"/>
      <w:r>
        <w:t xml:space="preserve"> </w:t>
      </w:r>
      <w:proofErr w:type="spellStart"/>
      <w:r>
        <w:t>untuk</w:t>
      </w:r>
      <w:proofErr w:type="spellEnd"/>
      <w:r>
        <w:t xml:space="preserve"> </w:t>
      </w:r>
      <w:proofErr w:type="spellStart"/>
      <w:r>
        <w:t>variabel</w:t>
      </w:r>
      <w:proofErr w:type="spellEnd"/>
      <w:r>
        <w:t xml:space="preserve"> </w:t>
      </w:r>
      <w:proofErr w:type="spellStart"/>
      <w:r>
        <w:t>reputasi</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hasil</w:t>
      </w:r>
      <w:proofErr w:type="spellEnd"/>
      <w:r>
        <w:t xml:space="preserve"> survey </w:t>
      </w:r>
      <w:proofErr w:type="spellStart"/>
      <w:r>
        <w:t>dari</w:t>
      </w:r>
      <w:proofErr w:type="spellEnd"/>
      <w:r>
        <w:t xml:space="preserve"> </w:t>
      </w:r>
      <w:r>
        <w:rPr>
          <w:i/>
          <w:iCs/>
        </w:rPr>
        <w:t>Frontiers Consulting Group</w:t>
      </w:r>
      <w:r>
        <w:t xml:space="preserve"> </w:t>
      </w:r>
      <w:proofErr w:type="spellStart"/>
      <w:r>
        <w:t>dalam</w:t>
      </w:r>
      <w:proofErr w:type="spellEnd"/>
      <w:r>
        <w:t xml:space="preserve"> </w:t>
      </w:r>
      <w:proofErr w:type="spellStart"/>
      <w:r>
        <w:t>bentuk</w:t>
      </w:r>
      <w:proofErr w:type="spellEnd"/>
      <w:r>
        <w:t xml:space="preserve"> “</w:t>
      </w:r>
      <w:r>
        <w:rPr>
          <w:i/>
          <w:iCs/>
        </w:rPr>
        <w:t>Corporate Image Award</w:t>
      </w:r>
      <w:r>
        <w:t xml:space="preserve">”. </w:t>
      </w:r>
      <w:proofErr w:type="spellStart"/>
      <w:r>
        <w:t>Ketiga</w:t>
      </w:r>
      <w:proofErr w:type="spellEnd"/>
      <w:r>
        <w:t xml:space="preserve">, </w:t>
      </w:r>
      <w:proofErr w:type="spellStart"/>
      <w:r>
        <w:t>pendekatan</w:t>
      </w:r>
      <w:proofErr w:type="spellEnd"/>
      <w:r>
        <w:t xml:space="preserve"> </w:t>
      </w:r>
      <w:proofErr w:type="spellStart"/>
      <w:r>
        <w:t>teori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menggunakan</w:t>
      </w:r>
      <w:proofErr w:type="spellEnd"/>
      <w:r>
        <w:t xml:space="preserve"> </w:t>
      </w:r>
      <w:r>
        <w:rPr>
          <w:i/>
          <w:iCs/>
        </w:rPr>
        <w:t>apology theory</w:t>
      </w:r>
      <w:r>
        <w:t xml:space="preserve"> yang </w:t>
      </w:r>
      <w:proofErr w:type="spellStart"/>
      <w:r>
        <w:t>dikemukakan</w:t>
      </w:r>
      <w:proofErr w:type="spellEnd"/>
      <w:r>
        <w:t xml:space="preserve"> oleh </w:t>
      </w:r>
      <w:r>
        <w:fldChar w:fldCharType="begin" w:fldLock="1"/>
      </w:r>
      <w:r w:rsidR="00C100C1">
        <w:instrText>ADDIN CSL_CITATION {"citationItems":[{"id":"ITEM-1","itemData":{"DOI":"10.1080/0267257X.2019.1580761","abstract":"Corporate social responsibility (CSR) generates benefits for companies and society. However, CSR exposes a company to potential damage when a critical event, such as a crisis, disconfirms the CSR o...","author":[{"dropping-particle":"","family":"Gistri","given":"Giacomo","non-dropping-particle":"","parse-names":false,"suffix":""},{"dropping-particle":"","family":"Corciolani","given":"Matteo","non-dropping-particle":"","parse-names":false,"suffix":""},{"dropping-particle":"","family":"Pace","given":"Stefano","non-dropping-particle":"","parse-names":false,"suffix":""}],"container-title":"https://doi.org/10.1080/0267257X.2019.1580761","id":"ITEM-1","issue":"7-8","issued":{"date-parts":[["2019","5","4"]]},"page":"605-633","publisher":"Routledge","title":"Does the perception of incongruence hurt more? Customers’ responses to CSR crises affecting the main reputation dimension of a company","type":"article-journal","volume":"35"},"uris":["http://www.mendeley.com/documents/?uuid=3b2bba70-8c52-3cc4-bf43-87161854e868"]}],"mendeley":{"formattedCitation":"(Gistri, Corciolani, &amp; Pace, 2019)","manualFormatting":"Gistri, Corciolani, &amp; Pace (2019)","plainTextFormattedCitation":"(Gistri, Corciolani, &amp; Pace, 2019)","previouslyFormattedCitation":"(Gistri, Corciolani, &amp; Pace, 2019)"},"properties":{"noteIndex":0},"schema":"https://github.com/citation-style-language/schema/raw/master/csl-citation.json"}</w:instrText>
      </w:r>
      <w:r>
        <w:fldChar w:fldCharType="separate"/>
      </w:r>
      <w:r w:rsidRPr="009517A4">
        <w:rPr>
          <w:noProof/>
        </w:rPr>
        <w:t xml:space="preserve">Gistri, Corciolani, &amp; Pace </w:t>
      </w:r>
      <w:r>
        <w:rPr>
          <w:noProof/>
        </w:rPr>
        <w:t>(</w:t>
      </w:r>
      <w:r w:rsidRPr="009517A4">
        <w:rPr>
          <w:noProof/>
        </w:rPr>
        <w:t>2019)</w:t>
      </w:r>
      <w:r>
        <w:fldChar w:fldCharType="end"/>
      </w:r>
      <w:r>
        <w:t xml:space="preserve"> </w:t>
      </w:r>
      <w:proofErr w:type="spellStart"/>
      <w:r>
        <w:t>dimana</w:t>
      </w:r>
      <w:proofErr w:type="spellEnd"/>
      <w:r>
        <w:t xml:space="preserve"> </w:t>
      </w:r>
      <w:proofErr w:type="spellStart"/>
      <w:r>
        <w:t>pengungkapan</w:t>
      </w:r>
      <w:proofErr w:type="spellEnd"/>
      <w:r>
        <w:t xml:space="preserve"> CSR </w:t>
      </w:r>
      <w:proofErr w:type="spellStart"/>
      <w:r>
        <w:t>dianalogikan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permintaan</w:t>
      </w:r>
      <w:proofErr w:type="spellEnd"/>
      <w:r>
        <w:t xml:space="preserve"> </w:t>
      </w:r>
      <w:proofErr w:type="spellStart"/>
      <w:r>
        <w:t>maaf</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entitas</w:t>
      </w:r>
      <w:proofErr w:type="spellEnd"/>
      <w:r>
        <w:t xml:space="preserve"> </w:t>
      </w:r>
      <w:proofErr w:type="spellStart"/>
      <w:r>
        <w:t>untuk</w:t>
      </w:r>
      <w:proofErr w:type="spellEnd"/>
      <w:r>
        <w:t xml:space="preserve"> </w:t>
      </w:r>
      <w:proofErr w:type="spellStart"/>
      <w:r>
        <w:t>segala</w:t>
      </w:r>
      <w:proofErr w:type="spellEnd"/>
      <w:r>
        <w:t xml:space="preserve"> </w:t>
      </w:r>
      <w:proofErr w:type="spellStart"/>
      <w:r>
        <w:t>hal</w:t>
      </w:r>
      <w:proofErr w:type="spellEnd"/>
      <w:r>
        <w:t xml:space="preserve"> yang </w:t>
      </w:r>
      <w:proofErr w:type="spellStart"/>
      <w:r>
        <w:t>telah</w:t>
      </w:r>
      <w:proofErr w:type="spellEnd"/>
      <w:r>
        <w:t xml:space="preserve"> </w:t>
      </w:r>
      <w:proofErr w:type="spellStart"/>
      <w:r>
        <w:t>mereka</w:t>
      </w:r>
      <w:proofErr w:type="spellEnd"/>
      <w:r>
        <w:t xml:space="preserve"> </w:t>
      </w:r>
      <w:proofErr w:type="spellStart"/>
      <w:r>
        <w:t>lakukan</w:t>
      </w:r>
      <w:proofErr w:type="spellEnd"/>
      <w:r>
        <w:t xml:space="preserve"> </w:t>
      </w:r>
      <w:proofErr w:type="spellStart"/>
      <w:r>
        <w:t>atau</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operasional</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ini</w:t>
      </w:r>
      <w:proofErr w:type="spellEnd"/>
      <w:r>
        <w:t xml:space="preserve"> juga </w:t>
      </w:r>
      <w:proofErr w:type="spellStart"/>
      <w:r>
        <w:t>dijelaskan</w:t>
      </w:r>
      <w:proofErr w:type="spellEnd"/>
      <w:r>
        <w:t xml:space="preserve"> </w:t>
      </w:r>
      <w:proofErr w:type="spellStart"/>
      <w:r>
        <w:t>bahwa</w:t>
      </w:r>
      <w:proofErr w:type="spellEnd"/>
      <w:r>
        <w:t xml:space="preserve"> orang </w:t>
      </w:r>
      <w:proofErr w:type="spellStart"/>
      <w:r>
        <w:t>baik</w:t>
      </w:r>
      <w:proofErr w:type="spellEnd"/>
      <w:r>
        <w:t xml:space="preserve"> </w:t>
      </w:r>
      <w:proofErr w:type="spellStart"/>
      <w:r>
        <w:t>akan</w:t>
      </w:r>
      <w:proofErr w:type="spellEnd"/>
      <w:r>
        <w:t xml:space="preserve"> </w:t>
      </w:r>
      <w:proofErr w:type="spellStart"/>
      <w:r>
        <w:t>lebih</w:t>
      </w:r>
      <w:proofErr w:type="spellEnd"/>
      <w:r>
        <w:t xml:space="preserve"> </w:t>
      </w:r>
      <w:proofErr w:type="spellStart"/>
      <w:r>
        <w:t>peka</w:t>
      </w:r>
      <w:proofErr w:type="spellEnd"/>
      <w:r>
        <w:t xml:space="preserve"> </w:t>
      </w:r>
      <w:proofErr w:type="spellStart"/>
      <w:r>
        <w:t>bila</w:t>
      </w:r>
      <w:proofErr w:type="spellEnd"/>
      <w:r>
        <w:t xml:space="preserve"> </w:t>
      </w:r>
      <w:proofErr w:type="spellStart"/>
      <w:r>
        <w:t>untuk</w:t>
      </w:r>
      <w:proofErr w:type="spellEnd"/>
      <w:r>
        <w:t xml:space="preserve"> </w:t>
      </w:r>
      <w:proofErr w:type="spellStart"/>
      <w:r>
        <w:t>meminta</w:t>
      </w:r>
      <w:proofErr w:type="spellEnd"/>
      <w:r>
        <w:t xml:space="preserve"> </w:t>
      </w:r>
      <w:proofErr w:type="spellStart"/>
      <w:r>
        <w:t>maaf</w:t>
      </w:r>
      <w:proofErr w:type="spellEnd"/>
      <w:r>
        <w:t xml:space="preserve"> </w:t>
      </w:r>
      <w:proofErr w:type="spellStart"/>
      <w:r>
        <w:t>saat</w:t>
      </w:r>
      <w:proofErr w:type="spellEnd"/>
      <w:r>
        <w:t xml:space="preserve"> </w:t>
      </w:r>
      <w:proofErr w:type="spellStart"/>
      <w:r>
        <w:t>membuat</w:t>
      </w:r>
      <w:proofErr w:type="spellEnd"/>
      <w:r>
        <w:t xml:space="preserve"> </w:t>
      </w:r>
      <w:proofErr w:type="spellStart"/>
      <w:r>
        <w:t>sebuah</w:t>
      </w:r>
      <w:proofErr w:type="spellEnd"/>
      <w:r>
        <w:t xml:space="preserve"> </w:t>
      </w:r>
      <w:proofErr w:type="spellStart"/>
      <w:r>
        <w:t>kesalahan</w:t>
      </w:r>
      <w:proofErr w:type="spellEnd"/>
      <w:r>
        <w:t xml:space="preserve">. </w:t>
      </w:r>
      <w:proofErr w:type="spellStart"/>
      <w:r w:rsidRPr="000F2238">
        <w:t>Mengenai</w:t>
      </w:r>
      <w:proofErr w:type="spellEnd"/>
      <w:r w:rsidRPr="000F2238">
        <w:t xml:space="preserve"> </w:t>
      </w:r>
      <w:proofErr w:type="spellStart"/>
      <w:r w:rsidRPr="000F2238">
        <w:t>isi</w:t>
      </w:r>
      <w:proofErr w:type="spellEnd"/>
      <w:r w:rsidRPr="000F2238">
        <w:t xml:space="preserve"> </w:t>
      </w:r>
      <w:proofErr w:type="spellStart"/>
      <w:r w:rsidRPr="000F2238">
        <w:t>tanggapan</w:t>
      </w:r>
      <w:proofErr w:type="spellEnd"/>
      <w:r w:rsidRPr="000F2238">
        <w:t xml:space="preserve"> </w:t>
      </w:r>
      <w:proofErr w:type="spellStart"/>
      <w:r w:rsidRPr="000F2238">
        <w:t>krisis</w:t>
      </w:r>
      <w:proofErr w:type="spellEnd"/>
      <w:r w:rsidRPr="000F2238">
        <w:t xml:space="preserve">, </w:t>
      </w:r>
      <w:proofErr w:type="spellStart"/>
      <w:r w:rsidRPr="000F2238">
        <w:t>permintaan</w:t>
      </w:r>
      <w:proofErr w:type="spellEnd"/>
      <w:r w:rsidRPr="000F2238">
        <w:t xml:space="preserve"> </w:t>
      </w:r>
      <w:proofErr w:type="spellStart"/>
      <w:r w:rsidRPr="000F2238">
        <w:t>maaf</w:t>
      </w:r>
      <w:proofErr w:type="spellEnd"/>
      <w:r w:rsidRPr="000F2238">
        <w:t xml:space="preserve"> yang </w:t>
      </w:r>
      <w:proofErr w:type="spellStart"/>
      <w:r w:rsidRPr="000F2238">
        <w:t>dipadukan</w:t>
      </w:r>
      <w:proofErr w:type="spellEnd"/>
      <w:r w:rsidRPr="000F2238">
        <w:t xml:space="preserve"> </w:t>
      </w:r>
      <w:proofErr w:type="spellStart"/>
      <w:r w:rsidRPr="000F2238">
        <w:t>dengan</w:t>
      </w:r>
      <w:proofErr w:type="spellEnd"/>
      <w:r w:rsidRPr="000F2238">
        <w:t xml:space="preserve"> </w:t>
      </w:r>
      <w:proofErr w:type="spellStart"/>
      <w:r w:rsidRPr="000F2238">
        <w:t>kompensasi</w:t>
      </w:r>
      <w:proofErr w:type="spellEnd"/>
      <w:r w:rsidRPr="000F2238">
        <w:t xml:space="preserve"> </w:t>
      </w:r>
      <w:proofErr w:type="spellStart"/>
      <w:r w:rsidRPr="000F2238">
        <w:t>dirasa</w:t>
      </w:r>
      <w:proofErr w:type="spellEnd"/>
      <w:r w:rsidRPr="000F2238">
        <w:t xml:space="preserve"> </w:t>
      </w:r>
      <w:proofErr w:type="spellStart"/>
      <w:r w:rsidRPr="000F2238">
        <w:t>lebih</w:t>
      </w:r>
      <w:proofErr w:type="spellEnd"/>
      <w:r w:rsidRPr="000F2238">
        <w:t xml:space="preserve"> </w:t>
      </w:r>
      <w:proofErr w:type="spellStart"/>
      <w:r w:rsidRPr="000F2238">
        <w:t>tepat</w:t>
      </w:r>
      <w:proofErr w:type="spellEnd"/>
      <w:r w:rsidRPr="000F2238">
        <w:t xml:space="preserve"> </w:t>
      </w:r>
      <w:proofErr w:type="spellStart"/>
      <w:r w:rsidRPr="000F2238">
        <w:t>dibandingkan</w:t>
      </w:r>
      <w:proofErr w:type="spellEnd"/>
      <w:r w:rsidRPr="000F2238">
        <w:t xml:space="preserve"> </w:t>
      </w:r>
      <w:proofErr w:type="spellStart"/>
      <w:r w:rsidRPr="000F2238">
        <w:t>dengan</w:t>
      </w:r>
      <w:proofErr w:type="spellEnd"/>
      <w:r w:rsidRPr="000F2238">
        <w:t xml:space="preserve"> </w:t>
      </w:r>
      <w:proofErr w:type="spellStart"/>
      <w:r w:rsidRPr="000F2238">
        <w:t>mengkambinghitamkan</w:t>
      </w:r>
      <w:proofErr w:type="spellEnd"/>
      <w:r>
        <w:t xml:space="preserve"> (</w:t>
      </w:r>
      <w:proofErr w:type="spellStart"/>
      <w:r>
        <w:fldChar w:fldCharType="begin" w:fldLock="1"/>
      </w:r>
      <w:r>
        <w:instrText>ADDIN CSL_CITATION {"citationItems":[{"id":"ITEM-1","itemData":{"DOI":"10.1016/J.PUBREV.2020.102002","ISSN":"0363-8111","abstract":"Combining different crisis response strategies of situational crisis communication theory, two studies examined the components of an appropriate crisis response strategy that includes an apology. Regarding the content of crisis responses, apologies that are combined with compensation were perceived to be more appropriate than those with scapegoating. In terms of the context of crisis responses, the two studies examined the timing of announcing the responses. In study 1, the appropriateness of an apology that was coupled with compensation decreased over time, while the appropriateness of the responses, in general, fluctuated over time in study 2. To further comprehend the mechanisms behind the appropriateness of the crisis responses, this research utilizes how well the organization responded to individuals’ dispositional needs to be heard. How well a response fulfilled the stakeholders’ needs to be heard explained 66 % of the variance of its appropriateness; the more the response was perceived to fulfill their desires to be heard, the more appropriate it was.","author":[{"dropping-particle":"","family":"Im","given":"Woo Jung","non-dropping-particle":"","parse-names":false,"suffix":""},{"dropping-particle":"","family":"Youk","given":"Sungbin","non-dropping-particle":"","parse-names":false,"suffix":""},{"dropping-particle":"","family":"Park","given":"Hee Sun","non-dropping-particle":"","parse-names":false,"suffix":""}],"container-title":"Public Relations Review","id":"ITEM-1","issue":"1","issued":{"date-parts":[["2021","3","1"]]},"page":"102002","publisher":"JAI","title":"Apologies combined with other crisis response strategies: Do the fulfillment of individuals' needs to be heard and the timing of response message affect apology appropriateness?","type":"article-journal","volume":"47"},"uris":["http://www.mendeley.com/documents/?uuid=3d25ac8b-5354-3911-be64-20b74e823251"]}],"mendeley":{"formattedCitation":"(Im, Youk, &amp; Park, 2021)","manualFormatting":"Im, Youk, &amp; Park, 2021)","plainTextFormattedCitation":"(Im, Youk, &amp; Park, 2021)","previouslyFormattedCitation":"(Im, Youk, &amp; Park, 2021)"},"properties":{"noteIndex":0},"schema":"https://github.com/citation-style-language/schema/raw/master/csl-citation.json"}</w:instrText>
      </w:r>
      <w:r>
        <w:fldChar w:fldCharType="separate"/>
      </w:r>
      <w:r w:rsidRPr="001163A5">
        <w:rPr>
          <w:noProof/>
        </w:rPr>
        <w:t>Im</w:t>
      </w:r>
      <w:proofErr w:type="spellEnd"/>
      <w:r w:rsidRPr="001163A5">
        <w:rPr>
          <w:noProof/>
        </w:rPr>
        <w:t>, Youk, &amp; Park</w:t>
      </w:r>
      <w:r>
        <w:rPr>
          <w:noProof/>
        </w:rPr>
        <w:t xml:space="preserve">, </w:t>
      </w:r>
      <w:r w:rsidRPr="001163A5">
        <w:rPr>
          <w:noProof/>
        </w:rPr>
        <w:t>2021)</w:t>
      </w:r>
      <w:r>
        <w:fldChar w:fldCharType="end"/>
      </w:r>
      <w:r>
        <w:t>.</w:t>
      </w:r>
    </w:p>
    <w:p w14:paraId="6F19F8A7" w14:textId="77777777" w:rsidR="00590286" w:rsidRPr="00036B48" w:rsidRDefault="00590286" w:rsidP="00CB0F0E">
      <w:pPr>
        <w:pStyle w:val="BodyText"/>
        <w:spacing w:before="1" w:line="276" w:lineRule="auto"/>
        <w:ind w:right="138"/>
        <w:jc w:val="both"/>
      </w:pPr>
    </w:p>
    <w:p w14:paraId="64520404" w14:textId="77777777" w:rsidR="00A07ECC" w:rsidRDefault="00BE4EBF">
      <w:pPr>
        <w:pStyle w:val="Heading1"/>
      </w:pPr>
      <w:r>
        <w:rPr>
          <w:color w:val="00AF50"/>
        </w:rPr>
        <w:t>METHODS</w:t>
      </w:r>
    </w:p>
    <w:p w14:paraId="397104E4" w14:textId="77777777" w:rsidR="00A07ECC" w:rsidRDefault="00A07ECC">
      <w:pPr>
        <w:pStyle w:val="BodyText"/>
        <w:spacing w:before="4"/>
        <w:rPr>
          <w:b/>
          <w:sz w:val="29"/>
        </w:rPr>
      </w:pPr>
    </w:p>
    <w:p w14:paraId="16EACA0E" w14:textId="77777777" w:rsidR="00A07ECC" w:rsidRDefault="003E6E83" w:rsidP="00DA487C">
      <w:pPr>
        <w:pStyle w:val="BodyText"/>
        <w:spacing w:line="276" w:lineRule="auto"/>
        <w:ind w:left="277" w:right="132"/>
        <w:jc w:val="both"/>
      </w:pPr>
      <w:r>
        <w:t>D</w:t>
      </w:r>
      <w:r w:rsidR="00613C3E">
        <w:t xml:space="preserve">ata yang </w:t>
      </w:r>
      <w:proofErr w:type="spellStart"/>
      <w:r w:rsidR="00613C3E">
        <w:t>digunakan</w:t>
      </w:r>
      <w:proofErr w:type="spellEnd"/>
      <w:r w:rsidR="00613C3E">
        <w:t xml:space="preserve"> </w:t>
      </w:r>
      <w:proofErr w:type="spellStart"/>
      <w:r w:rsidR="00613C3E">
        <w:t>dalam</w:t>
      </w:r>
      <w:proofErr w:type="spellEnd"/>
      <w:r w:rsidR="00613C3E">
        <w:t xml:space="preserve"> </w:t>
      </w:r>
      <w:proofErr w:type="spellStart"/>
      <w:r w:rsidR="00613C3E">
        <w:t>penelitian</w:t>
      </w:r>
      <w:proofErr w:type="spellEnd"/>
      <w:r w:rsidR="00613C3E">
        <w:t xml:space="preserve"> </w:t>
      </w:r>
      <w:proofErr w:type="spellStart"/>
      <w:r w:rsidR="00613C3E">
        <w:t>ini</w:t>
      </w:r>
      <w:proofErr w:type="spellEnd"/>
      <w:r w:rsidR="00613C3E">
        <w:t xml:space="preserve"> </w:t>
      </w:r>
      <w:proofErr w:type="spellStart"/>
      <w:r w:rsidR="00140E82">
        <w:t>adalah</w:t>
      </w:r>
      <w:proofErr w:type="spellEnd"/>
      <w:r w:rsidR="00140E82">
        <w:t xml:space="preserve"> data </w:t>
      </w:r>
      <w:proofErr w:type="spellStart"/>
      <w:r w:rsidR="00140E82">
        <w:t>sekunder</w:t>
      </w:r>
      <w:proofErr w:type="spellEnd"/>
      <w:r w:rsidR="00140E82">
        <w:t xml:space="preserve">. </w:t>
      </w:r>
      <w:proofErr w:type="spellStart"/>
      <w:r>
        <w:t>Sumber</w:t>
      </w:r>
      <w:proofErr w:type="spellEnd"/>
      <w:r>
        <w:t xml:space="preserve"> data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Bursa </w:t>
      </w:r>
      <w:proofErr w:type="spellStart"/>
      <w:r>
        <w:t>Efek</w:t>
      </w:r>
      <w:proofErr w:type="spellEnd"/>
      <w:r>
        <w:t xml:space="preserve"> Indonesia yang </w:t>
      </w:r>
      <w:proofErr w:type="spellStart"/>
      <w:r>
        <w:t>dapat</w:t>
      </w:r>
      <w:proofErr w:type="spellEnd"/>
      <w:r>
        <w:t xml:space="preserve"> </w:t>
      </w:r>
      <w:proofErr w:type="spellStart"/>
      <w:r>
        <w:t>dikunjungi</w:t>
      </w:r>
      <w:proofErr w:type="spellEnd"/>
      <w:r>
        <w:t xml:space="preserve"> </w:t>
      </w:r>
      <w:proofErr w:type="spellStart"/>
      <w:r>
        <w:t>mealui</w:t>
      </w:r>
      <w:proofErr w:type="spellEnd"/>
      <w:r>
        <w:t xml:space="preserve"> website </w:t>
      </w:r>
      <w:proofErr w:type="spellStart"/>
      <w:r>
        <w:t>resmi</w:t>
      </w:r>
      <w:proofErr w:type="spellEnd"/>
      <w:r>
        <w:t xml:space="preserve">, database </w:t>
      </w:r>
      <w:r>
        <w:rPr>
          <w:i/>
          <w:iCs/>
        </w:rPr>
        <w:t>global reporting initiative</w:t>
      </w:r>
      <w:r>
        <w:t xml:space="preserve">, dan </w:t>
      </w:r>
      <w:r>
        <w:rPr>
          <w:i/>
          <w:iCs/>
        </w:rPr>
        <w:t>Corporate Image Award</w:t>
      </w:r>
      <w:r>
        <w:t xml:space="preserve"> yang </w:t>
      </w:r>
      <w:proofErr w:type="spellStart"/>
      <w:r>
        <w:t>dilaksanakan</w:t>
      </w:r>
      <w:proofErr w:type="spellEnd"/>
      <w:r>
        <w:t xml:space="preserve"> oleh </w:t>
      </w:r>
      <w:r>
        <w:rPr>
          <w:i/>
          <w:iCs/>
        </w:rPr>
        <w:t>Frontier Consulting Group</w:t>
      </w:r>
      <w:r>
        <w:t xml:space="preserve">. </w:t>
      </w:r>
      <w:proofErr w:type="spellStart"/>
      <w:r>
        <w:t>Jumlah</w:t>
      </w:r>
      <w:proofErr w:type="spellEnd"/>
      <w:r>
        <w:t xml:space="preserve"> </w:t>
      </w:r>
      <w:proofErr w:type="spellStart"/>
      <w:r>
        <w:t>perusahaan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13 </w:t>
      </w:r>
      <w:proofErr w:type="spellStart"/>
      <w:r>
        <w:t>perushaaan</w:t>
      </w:r>
      <w:proofErr w:type="spellEnd"/>
      <w:r>
        <w:t xml:space="preserve"> di </w:t>
      </w:r>
      <w:proofErr w:type="spellStart"/>
      <w:r>
        <w:t>sektor</w:t>
      </w:r>
      <w:proofErr w:type="spellEnd"/>
      <w:r>
        <w:t xml:space="preserve"> </w:t>
      </w:r>
      <w:proofErr w:type="spellStart"/>
      <w:r>
        <w:t>perbankan</w:t>
      </w:r>
      <w:proofErr w:type="spellEnd"/>
      <w:r w:rsidR="004D4D61">
        <w:t xml:space="preserve"> </w:t>
      </w:r>
      <w:proofErr w:type="spellStart"/>
      <w:r w:rsidR="004D4D61">
        <w:t>dari</w:t>
      </w:r>
      <w:proofErr w:type="spellEnd"/>
      <w:r w:rsidR="004D4D61">
        <w:t xml:space="preserve"> </w:t>
      </w:r>
      <w:proofErr w:type="spellStart"/>
      <w:r w:rsidR="004D4D61">
        <w:t>tahun</w:t>
      </w:r>
      <w:proofErr w:type="spellEnd"/>
      <w:r w:rsidR="004D4D61">
        <w:t xml:space="preserve"> 2017-2019</w:t>
      </w:r>
      <w:r w:rsidR="00DA487C">
        <w:t>.</w:t>
      </w:r>
    </w:p>
    <w:p w14:paraId="3052F8CF" w14:textId="77777777" w:rsidR="00DA487C" w:rsidRDefault="00DA487C" w:rsidP="00DA487C">
      <w:pPr>
        <w:pStyle w:val="BodyText"/>
        <w:spacing w:line="276" w:lineRule="auto"/>
        <w:ind w:left="277" w:right="132"/>
        <w:jc w:val="both"/>
      </w:pPr>
    </w:p>
    <w:p w14:paraId="440F1D95" w14:textId="77777777" w:rsidR="00DA487C" w:rsidRDefault="00DA487C" w:rsidP="00DA487C">
      <w:pPr>
        <w:spacing w:before="54"/>
        <w:ind w:right="80"/>
        <w:jc w:val="center"/>
        <w:rPr>
          <w:b/>
          <w:sz w:val="20"/>
        </w:rPr>
      </w:pPr>
      <w:r>
        <w:rPr>
          <w:b/>
          <w:sz w:val="20"/>
        </w:rPr>
        <w:t>Table</w:t>
      </w:r>
      <w:r>
        <w:rPr>
          <w:b/>
          <w:spacing w:val="-4"/>
          <w:sz w:val="20"/>
        </w:rPr>
        <w:t xml:space="preserve"> </w:t>
      </w:r>
      <w:r>
        <w:rPr>
          <w:b/>
          <w:sz w:val="20"/>
        </w:rPr>
        <w:t>1</w:t>
      </w:r>
      <w:r>
        <w:rPr>
          <w:b/>
          <w:spacing w:val="-4"/>
          <w:sz w:val="20"/>
        </w:rPr>
        <w:t xml:space="preserve"> </w:t>
      </w:r>
      <w:r>
        <w:rPr>
          <w:b/>
          <w:sz w:val="20"/>
        </w:rPr>
        <w:t>Company</w:t>
      </w:r>
      <w:r>
        <w:rPr>
          <w:b/>
          <w:spacing w:val="-3"/>
          <w:sz w:val="20"/>
        </w:rPr>
        <w:t xml:space="preserve"> </w:t>
      </w:r>
      <w:r>
        <w:rPr>
          <w:b/>
          <w:sz w:val="20"/>
        </w:rPr>
        <w:t>Samples</w:t>
      </w:r>
      <w:r>
        <w:rPr>
          <w:b/>
          <w:spacing w:val="-2"/>
          <w:sz w:val="20"/>
        </w:rPr>
        <w:t xml:space="preserve"> </w:t>
      </w:r>
      <w:r>
        <w:rPr>
          <w:b/>
          <w:sz w:val="20"/>
        </w:rPr>
        <w:t>Studied</w:t>
      </w:r>
    </w:p>
    <w:p w14:paraId="12EEBFE3" w14:textId="77777777" w:rsidR="00DA487C" w:rsidRDefault="00DA487C" w:rsidP="00DA487C">
      <w:pPr>
        <w:pStyle w:val="BodyText"/>
        <w:spacing w:before="4"/>
        <w:rPr>
          <w:b/>
          <w:sz w:val="25"/>
        </w:rPr>
      </w:pPr>
    </w:p>
    <w:tbl>
      <w:tblPr>
        <w:tblW w:w="0" w:type="auto"/>
        <w:jc w:val="center"/>
        <w:tblLayout w:type="fixed"/>
        <w:tblCellMar>
          <w:left w:w="0" w:type="dxa"/>
          <w:right w:w="0" w:type="dxa"/>
        </w:tblCellMar>
        <w:tblLook w:val="01E0" w:firstRow="1" w:lastRow="1" w:firstColumn="1" w:lastColumn="1" w:noHBand="0" w:noVBand="0"/>
      </w:tblPr>
      <w:tblGrid>
        <w:gridCol w:w="878"/>
        <w:gridCol w:w="4343"/>
        <w:gridCol w:w="1880"/>
      </w:tblGrid>
      <w:tr w:rsidR="00DA487C" w14:paraId="50999414" w14:textId="77777777" w:rsidTr="00CA3C4C">
        <w:trPr>
          <w:trHeight w:val="244"/>
          <w:jc w:val="center"/>
        </w:trPr>
        <w:tc>
          <w:tcPr>
            <w:tcW w:w="878" w:type="dxa"/>
            <w:tcBorders>
              <w:top w:val="single" w:sz="4" w:space="0" w:color="000000"/>
              <w:bottom w:val="single" w:sz="4" w:space="0" w:color="000000"/>
            </w:tcBorders>
            <w:shd w:val="clear" w:color="auto" w:fill="E7E6E6"/>
          </w:tcPr>
          <w:p w14:paraId="6C442A60" w14:textId="77777777" w:rsidR="00DA487C" w:rsidRDefault="00DA487C" w:rsidP="00A55496">
            <w:pPr>
              <w:pStyle w:val="TableParagraph"/>
              <w:spacing w:line="224" w:lineRule="exact"/>
              <w:ind w:left="259"/>
              <w:rPr>
                <w:sz w:val="20"/>
              </w:rPr>
            </w:pPr>
            <w:r>
              <w:rPr>
                <w:sz w:val="20"/>
              </w:rPr>
              <w:t>Code</w:t>
            </w:r>
          </w:p>
        </w:tc>
        <w:tc>
          <w:tcPr>
            <w:tcW w:w="4343" w:type="dxa"/>
            <w:tcBorders>
              <w:top w:val="single" w:sz="4" w:space="0" w:color="000000"/>
              <w:bottom w:val="single" w:sz="4" w:space="0" w:color="000000"/>
            </w:tcBorders>
            <w:shd w:val="clear" w:color="auto" w:fill="E7E6E6"/>
          </w:tcPr>
          <w:p w14:paraId="0E1A8696" w14:textId="77777777" w:rsidR="00DA487C" w:rsidRDefault="00DA487C" w:rsidP="00A55496">
            <w:pPr>
              <w:pStyle w:val="TableParagraph"/>
              <w:spacing w:line="224" w:lineRule="exact"/>
              <w:ind w:left="1743"/>
              <w:rPr>
                <w:sz w:val="20"/>
              </w:rPr>
            </w:pPr>
            <w:r>
              <w:rPr>
                <w:sz w:val="20"/>
              </w:rPr>
              <w:t>Company</w:t>
            </w:r>
            <w:r>
              <w:rPr>
                <w:spacing w:val="-2"/>
                <w:sz w:val="20"/>
              </w:rPr>
              <w:t xml:space="preserve"> </w:t>
            </w:r>
            <w:r>
              <w:rPr>
                <w:sz w:val="20"/>
              </w:rPr>
              <w:t>Name</w:t>
            </w:r>
          </w:p>
        </w:tc>
        <w:tc>
          <w:tcPr>
            <w:tcW w:w="1880" w:type="dxa"/>
            <w:tcBorders>
              <w:top w:val="single" w:sz="4" w:space="0" w:color="000000"/>
              <w:bottom w:val="single" w:sz="4" w:space="0" w:color="000000"/>
            </w:tcBorders>
            <w:shd w:val="clear" w:color="auto" w:fill="E7E6E6"/>
          </w:tcPr>
          <w:p w14:paraId="2AA9D693" w14:textId="77777777" w:rsidR="00DA487C" w:rsidRDefault="00DA487C" w:rsidP="00A55496">
            <w:pPr>
              <w:pStyle w:val="TableParagraph"/>
              <w:spacing w:line="224" w:lineRule="exact"/>
              <w:ind w:left="702" w:right="246"/>
              <w:jc w:val="center"/>
              <w:rPr>
                <w:sz w:val="20"/>
              </w:rPr>
            </w:pPr>
            <w:r>
              <w:rPr>
                <w:sz w:val="20"/>
              </w:rPr>
              <w:t>Year</w:t>
            </w:r>
          </w:p>
        </w:tc>
      </w:tr>
      <w:tr w:rsidR="00DA487C" w14:paraId="37F3E856" w14:textId="77777777" w:rsidTr="00A55496">
        <w:trPr>
          <w:trHeight w:val="267"/>
          <w:jc w:val="center"/>
        </w:trPr>
        <w:tc>
          <w:tcPr>
            <w:tcW w:w="878" w:type="dxa"/>
            <w:tcBorders>
              <w:top w:val="single" w:sz="4" w:space="0" w:color="000000"/>
            </w:tcBorders>
            <w:shd w:val="clear" w:color="auto" w:fill="E7E6E6"/>
          </w:tcPr>
          <w:p w14:paraId="2ED29277" w14:textId="77777777" w:rsidR="00DA487C" w:rsidRDefault="00DA487C" w:rsidP="00A55496">
            <w:pPr>
              <w:pStyle w:val="TableParagraph"/>
              <w:spacing w:line="243" w:lineRule="exact"/>
              <w:ind w:left="108"/>
              <w:rPr>
                <w:sz w:val="20"/>
              </w:rPr>
            </w:pPr>
            <w:r>
              <w:rPr>
                <w:sz w:val="20"/>
              </w:rPr>
              <w:t>BBKP</w:t>
            </w:r>
          </w:p>
        </w:tc>
        <w:tc>
          <w:tcPr>
            <w:tcW w:w="4343" w:type="dxa"/>
            <w:tcBorders>
              <w:top w:val="single" w:sz="4" w:space="0" w:color="000000"/>
            </w:tcBorders>
            <w:shd w:val="clear" w:color="auto" w:fill="E7E6E6"/>
          </w:tcPr>
          <w:p w14:paraId="5F49B8D8" w14:textId="77777777" w:rsidR="00DA487C" w:rsidRDefault="00DA487C" w:rsidP="00A55496">
            <w:pPr>
              <w:pStyle w:val="TableParagraph"/>
              <w:spacing w:line="243" w:lineRule="exact"/>
              <w:ind w:left="185"/>
              <w:rPr>
                <w:sz w:val="20"/>
              </w:rPr>
            </w:pPr>
            <w:r>
              <w:rPr>
                <w:sz w:val="20"/>
              </w:rPr>
              <w:t>PT</w:t>
            </w:r>
            <w:r>
              <w:rPr>
                <w:spacing w:val="-4"/>
                <w:sz w:val="20"/>
              </w:rPr>
              <w:t xml:space="preserve"> </w:t>
            </w:r>
            <w:r>
              <w:rPr>
                <w:sz w:val="20"/>
              </w:rPr>
              <w:t xml:space="preserve">Bank </w:t>
            </w:r>
            <w:proofErr w:type="spellStart"/>
            <w:r>
              <w:rPr>
                <w:sz w:val="20"/>
              </w:rPr>
              <w:t>Bukopin</w:t>
            </w:r>
            <w:proofErr w:type="spellEnd"/>
            <w:r>
              <w:rPr>
                <w:spacing w:val="-1"/>
                <w:sz w:val="20"/>
              </w:rPr>
              <w:t xml:space="preserve"> </w:t>
            </w:r>
            <w:proofErr w:type="spellStart"/>
            <w:r>
              <w:rPr>
                <w:sz w:val="20"/>
              </w:rPr>
              <w:t>Tbk</w:t>
            </w:r>
            <w:proofErr w:type="spellEnd"/>
          </w:p>
        </w:tc>
        <w:tc>
          <w:tcPr>
            <w:tcW w:w="1880" w:type="dxa"/>
            <w:tcBorders>
              <w:top w:val="single" w:sz="4" w:space="0" w:color="000000"/>
            </w:tcBorders>
            <w:shd w:val="clear" w:color="auto" w:fill="E7E6E6"/>
          </w:tcPr>
          <w:p w14:paraId="2A45199A" w14:textId="77777777" w:rsidR="00DA487C" w:rsidRDefault="00DA487C" w:rsidP="00A55496">
            <w:pPr>
              <w:pStyle w:val="TableParagraph"/>
              <w:spacing w:line="243" w:lineRule="exact"/>
              <w:ind w:left="700" w:right="246"/>
              <w:jc w:val="center"/>
              <w:rPr>
                <w:sz w:val="20"/>
              </w:rPr>
            </w:pPr>
            <w:r>
              <w:rPr>
                <w:sz w:val="20"/>
              </w:rPr>
              <w:t>2017–2019</w:t>
            </w:r>
          </w:p>
        </w:tc>
      </w:tr>
      <w:tr w:rsidR="00DA487C" w14:paraId="6D807A8A" w14:textId="77777777" w:rsidTr="00A55496">
        <w:trPr>
          <w:trHeight w:val="244"/>
          <w:jc w:val="center"/>
        </w:trPr>
        <w:tc>
          <w:tcPr>
            <w:tcW w:w="878" w:type="dxa"/>
            <w:shd w:val="clear" w:color="auto" w:fill="E7E6E6"/>
          </w:tcPr>
          <w:p w14:paraId="2324F858" w14:textId="77777777" w:rsidR="00DA487C" w:rsidRDefault="00DA487C" w:rsidP="00A55496">
            <w:pPr>
              <w:pStyle w:val="TableParagraph"/>
              <w:ind w:left="108"/>
              <w:rPr>
                <w:sz w:val="20"/>
              </w:rPr>
            </w:pPr>
            <w:r>
              <w:rPr>
                <w:sz w:val="20"/>
              </w:rPr>
              <w:t>BNGA</w:t>
            </w:r>
          </w:p>
        </w:tc>
        <w:tc>
          <w:tcPr>
            <w:tcW w:w="4343" w:type="dxa"/>
            <w:shd w:val="clear" w:color="auto" w:fill="E7E6E6"/>
          </w:tcPr>
          <w:p w14:paraId="5C581E49" w14:textId="77777777" w:rsidR="00DA487C" w:rsidRDefault="00DA487C" w:rsidP="00A55496">
            <w:pPr>
              <w:pStyle w:val="TableParagraph"/>
              <w:ind w:left="185"/>
              <w:rPr>
                <w:sz w:val="20"/>
              </w:rPr>
            </w:pPr>
            <w:r>
              <w:rPr>
                <w:sz w:val="20"/>
              </w:rPr>
              <w:t>PT</w:t>
            </w:r>
            <w:r>
              <w:rPr>
                <w:spacing w:val="-3"/>
                <w:sz w:val="20"/>
              </w:rPr>
              <w:t xml:space="preserve"> </w:t>
            </w:r>
            <w:r>
              <w:rPr>
                <w:sz w:val="20"/>
              </w:rPr>
              <w:t xml:space="preserve">Bank CIMB </w:t>
            </w:r>
            <w:proofErr w:type="spellStart"/>
            <w:r>
              <w:rPr>
                <w:sz w:val="20"/>
              </w:rPr>
              <w:t>Niaga</w:t>
            </w:r>
            <w:proofErr w:type="spellEnd"/>
            <w:r>
              <w:rPr>
                <w:sz w:val="20"/>
              </w:rPr>
              <w:t xml:space="preserve"> </w:t>
            </w:r>
            <w:proofErr w:type="spellStart"/>
            <w:r>
              <w:rPr>
                <w:sz w:val="20"/>
              </w:rPr>
              <w:t>Tbk</w:t>
            </w:r>
            <w:proofErr w:type="spellEnd"/>
          </w:p>
        </w:tc>
        <w:tc>
          <w:tcPr>
            <w:tcW w:w="1880" w:type="dxa"/>
            <w:shd w:val="clear" w:color="auto" w:fill="E7E6E6"/>
          </w:tcPr>
          <w:p w14:paraId="3B8EB9F3" w14:textId="77777777" w:rsidR="00DA487C" w:rsidRDefault="00DA487C" w:rsidP="00A55496">
            <w:pPr>
              <w:pStyle w:val="TableParagraph"/>
              <w:ind w:left="700" w:right="246"/>
              <w:jc w:val="center"/>
              <w:rPr>
                <w:sz w:val="20"/>
              </w:rPr>
            </w:pPr>
            <w:r w:rsidRPr="00431E8E">
              <w:rPr>
                <w:sz w:val="20"/>
              </w:rPr>
              <w:t>2017–2019</w:t>
            </w:r>
          </w:p>
        </w:tc>
      </w:tr>
      <w:tr w:rsidR="00DA487C" w14:paraId="25EB87F7" w14:textId="77777777" w:rsidTr="00A55496">
        <w:trPr>
          <w:trHeight w:val="243"/>
          <w:jc w:val="center"/>
        </w:trPr>
        <w:tc>
          <w:tcPr>
            <w:tcW w:w="878" w:type="dxa"/>
            <w:shd w:val="clear" w:color="auto" w:fill="E7E6E6"/>
          </w:tcPr>
          <w:p w14:paraId="74E9E31C" w14:textId="77777777" w:rsidR="00DA487C" w:rsidRDefault="00DA487C" w:rsidP="00A55496">
            <w:pPr>
              <w:pStyle w:val="TableParagraph"/>
              <w:ind w:left="108"/>
              <w:rPr>
                <w:sz w:val="20"/>
              </w:rPr>
            </w:pPr>
            <w:r>
              <w:rPr>
                <w:sz w:val="20"/>
              </w:rPr>
              <w:t>BBTN</w:t>
            </w:r>
          </w:p>
        </w:tc>
        <w:tc>
          <w:tcPr>
            <w:tcW w:w="4343" w:type="dxa"/>
            <w:shd w:val="clear" w:color="auto" w:fill="E7E6E6"/>
          </w:tcPr>
          <w:p w14:paraId="4BBAA76D" w14:textId="77777777" w:rsidR="00DA487C" w:rsidRDefault="00DA487C" w:rsidP="00A55496">
            <w:pPr>
              <w:pStyle w:val="TableParagraph"/>
              <w:ind w:left="185"/>
              <w:rPr>
                <w:sz w:val="20"/>
              </w:rPr>
            </w:pPr>
            <w:r>
              <w:rPr>
                <w:sz w:val="20"/>
              </w:rPr>
              <w:t>PT</w:t>
            </w:r>
            <w:r>
              <w:rPr>
                <w:spacing w:val="-5"/>
                <w:sz w:val="20"/>
              </w:rPr>
              <w:t xml:space="preserve"> </w:t>
            </w:r>
            <w:r>
              <w:rPr>
                <w:sz w:val="20"/>
              </w:rPr>
              <w:t>Bank Tabungan Negara (Persero)</w:t>
            </w:r>
            <w:r>
              <w:rPr>
                <w:spacing w:val="-1"/>
                <w:sz w:val="20"/>
              </w:rPr>
              <w:t xml:space="preserve"> </w:t>
            </w:r>
            <w:proofErr w:type="spellStart"/>
            <w:r>
              <w:rPr>
                <w:sz w:val="20"/>
              </w:rPr>
              <w:t>Tbk</w:t>
            </w:r>
            <w:proofErr w:type="spellEnd"/>
          </w:p>
        </w:tc>
        <w:tc>
          <w:tcPr>
            <w:tcW w:w="1880" w:type="dxa"/>
            <w:shd w:val="clear" w:color="auto" w:fill="E7E6E6"/>
          </w:tcPr>
          <w:p w14:paraId="52B5DCFC" w14:textId="77777777" w:rsidR="00DA487C" w:rsidRDefault="00DA487C" w:rsidP="00A55496">
            <w:pPr>
              <w:pStyle w:val="TableParagraph"/>
              <w:ind w:left="700" w:right="246"/>
              <w:jc w:val="center"/>
              <w:rPr>
                <w:sz w:val="20"/>
              </w:rPr>
            </w:pPr>
            <w:r w:rsidRPr="00431E8E">
              <w:rPr>
                <w:sz w:val="20"/>
              </w:rPr>
              <w:t>2017–2019</w:t>
            </w:r>
          </w:p>
        </w:tc>
      </w:tr>
      <w:tr w:rsidR="00DA487C" w14:paraId="01D65184" w14:textId="77777777" w:rsidTr="00A55496">
        <w:trPr>
          <w:trHeight w:val="243"/>
          <w:jc w:val="center"/>
        </w:trPr>
        <w:tc>
          <w:tcPr>
            <w:tcW w:w="878" w:type="dxa"/>
            <w:shd w:val="clear" w:color="auto" w:fill="E7E6E6"/>
          </w:tcPr>
          <w:p w14:paraId="57CBCF18" w14:textId="77777777" w:rsidR="00DA487C" w:rsidRDefault="00DA487C" w:rsidP="00A55496">
            <w:pPr>
              <w:pStyle w:val="TableParagraph"/>
              <w:spacing w:line="220" w:lineRule="exact"/>
              <w:ind w:left="108"/>
              <w:rPr>
                <w:sz w:val="20"/>
              </w:rPr>
            </w:pPr>
            <w:r>
              <w:rPr>
                <w:sz w:val="20"/>
              </w:rPr>
              <w:t>BDMN</w:t>
            </w:r>
          </w:p>
        </w:tc>
        <w:tc>
          <w:tcPr>
            <w:tcW w:w="4343" w:type="dxa"/>
            <w:shd w:val="clear" w:color="auto" w:fill="E7E6E6"/>
          </w:tcPr>
          <w:p w14:paraId="40D4A6AF" w14:textId="77777777" w:rsidR="00DA487C" w:rsidRDefault="00DA487C" w:rsidP="00A55496">
            <w:pPr>
              <w:pStyle w:val="TableParagraph"/>
              <w:spacing w:line="220" w:lineRule="exact"/>
              <w:ind w:left="185"/>
              <w:rPr>
                <w:sz w:val="20"/>
              </w:rPr>
            </w:pPr>
            <w:r>
              <w:rPr>
                <w:sz w:val="20"/>
              </w:rPr>
              <w:t>PT</w:t>
            </w:r>
            <w:r>
              <w:rPr>
                <w:spacing w:val="-4"/>
                <w:sz w:val="20"/>
              </w:rPr>
              <w:t xml:space="preserve"> </w:t>
            </w:r>
            <w:r>
              <w:rPr>
                <w:sz w:val="20"/>
              </w:rPr>
              <w:t xml:space="preserve">Bank </w:t>
            </w:r>
            <w:proofErr w:type="spellStart"/>
            <w:r>
              <w:rPr>
                <w:sz w:val="20"/>
              </w:rPr>
              <w:t>Danamon</w:t>
            </w:r>
            <w:proofErr w:type="spellEnd"/>
            <w:r>
              <w:rPr>
                <w:sz w:val="20"/>
              </w:rPr>
              <w:t xml:space="preserve"> Indonesia</w:t>
            </w:r>
            <w:r>
              <w:rPr>
                <w:spacing w:val="-3"/>
                <w:sz w:val="20"/>
              </w:rPr>
              <w:t xml:space="preserve"> </w:t>
            </w:r>
            <w:proofErr w:type="spellStart"/>
            <w:r>
              <w:rPr>
                <w:sz w:val="20"/>
              </w:rPr>
              <w:t>Tbk</w:t>
            </w:r>
            <w:proofErr w:type="spellEnd"/>
          </w:p>
        </w:tc>
        <w:tc>
          <w:tcPr>
            <w:tcW w:w="1880" w:type="dxa"/>
            <w:shd w:val="clear" w:color="auto" w:fill="E7E6E6"/>
          </w:tcPr>
          <w:p w14:paraId="390B4EAF" w14:textId="77777777" w:rsidR="00DA487C" w:rsidRDefault="00DA487C" w:rsidP="00A55496">
            <w:pPr>
              <w:pStyle w:val="TableParagraph"/>
              <w:spacing w:line="220" w:lineRule="exact"/>
              <w:ind w:left="700" w:right="246"/>
              <w:jc w:val="center"/>
              <w:rPr>
                <w:sz w:val="20"/>
              </w:rPr>
            </w:pPr>
            <w:r w:rsidRPr="00431E8E">
              <w:rPr>
                <w:sz w:val="20"/>
              </w:rPr>
              <w:t>2017–2019</w:t>
            </w:r>
          </w:p>
        </w:tc>
      </w:tr>
      <w:tr w:rsidR="00DA487C" w14:paraId="78101DD2" w14:textId="77777777" w:rsidTr="00A55496">
        <w:trPr>
          <w:trHeight w:val="244"/>
          <w:jc w:val="center"/>
        </w:trPr>
        <w:tc>
          <w:tcPr>
            <w:tcW w:w="878" w:type="dxa"/>
            <w:shd w:val="clear" w:color="auto" w:fill="E7E6E6"/>
          </w:tcPr>
          <w:p w14:paraId="1601E270" w14:textId="77777777" w:rsidR="00DA487C" w:rsidRDefault="00DA487C" w:rsidP="00A55496">
            <w:pPr>
              <w:pStyle w:val="TableParagraph"/>
              <w:ind w:left="108"/>
              <w:rPr>
                <w:sz w:val="20"/>
              </w:rPr>
            </w:pPr>
            <w:r>
              <w:rPr>
                <w:sz w:val="20"/>
              </w:rPr>
              <w:t>BNLI</w:t>
            </w:r>
          </w:p>
        </w:tc>
        <w:tc>
          <w:tcPr>
            <w:tcW w:w="4343" w:type="dxa"/>
            <w:shd w:val="clear" w:color="auto" w:fill="E7E6E6"/>
          </w:tcPr>
          <w:p w14:paraId="61589FFB" w14:textId="77777777" w:rsidR="00DA487C" w:rsidRDefault="00DA487C" w:rsidP="00A55496">
            <w:pPr>
              <w:pStyle w:val="TableParagraph"/>
              <w:ind w:left="185"/>
              <w:rPr>
                <w:sz w:val="20"/>
              </w:rPr>
            </w:pPr>
            <w:r>
              <w:rPr>
                <w:sz w:val="20"/>
              </w:rPr>
              <w:t>PT</w:t>
            </w:r>
            <w:r>
              <w:rPr>
                <w:spacing w:val="-4"/>
                <w:sz w:val="20"/>
              </w:rPr>
              <w:t xml:space="preserve"> </w:t>
            </w:r>
            <w:r>
              <w:rPr>
                <w:sz w:val="20"/>
              </w:rPr>
              <w:t>Bank Permata</w:t>
            </w:r>
            <w:r>
              <w:rPr>
                <w:spacing w:val="-2"/>
                <w:sz w:val="20"/>
              </w:rPr>
              <w:t xml:space="preserve"> </w:t>
            </w:r>
            <w:proofErr w:type="spellStart"/>
            <w:r>
              <w:rPr>
                <w:sz w:val="20"/>
              </w:rPr>
              <w:t>Tbk</w:t>
            </w:r>
            <w:proofErr w:type="spellEnd"/>
          </w:p>
        </w:tc>
        <w:tc>
          <w:tcPr>
            <w:tcW w:w="1880" w:type="dxa"/>
            <w:shd w:val="clear" w:color="auto" w:fill="E7E6E6"/>
          </w:tcPr>
          <w:p w14:paraId="1FFE40FE" w14:textId="77777777" w:rsidR="00DA487C" w:rsidRDefault="00DA487C" w:rsidP="00A55496">
            <w:pPr>
              <w:pStyle w:val="TableParagraph"/>
              <w:ind w:left="700" w:right="246"/>
              <w:jc w:val="center"/>
              <w:rPr>
                <w:sz w:val="20"/>
              </w:rPr>
            </w:pPr>
            <w:r w:rsidRPr="00431E8E">
              <w:rPr>
                <w:sz w:val="20"/>
              </w:rPr>
              <w:t>2017–2019</w:t>
            </w:r>
          </w:p>
        </w:tc>
      </w:tr>
      <w:tr w:rsidR="00DA487C" w14:paraId="4E1B36A4" w14:textId="77777777" w:rsidTr="00A55496">
        <w:trPr>
          <w:trHeight w:val="243"/>
          <w:jc w:val="center"/>
        </w:trPr>
        <w:tc>
          <w:tcPr>
            <w:tcW w:w="878" w:type="dxa"/>
            <w:shd w:val="clear" w:color="auto" w:fill="E7E6E6"/>
          </w:tcPr>
          <w:p w14:paraId="1D55016B" w14:textId="77777777" w:rsidR="00DA487C" w:rsidRDefault="00DA487C" w:rsidP="00A55496">
            <w:pPr>
              <w:pStyle w:val="TableParagraph"/>
              <w:ind w:left="108"/>
              <w:rPr>
                <w:sz w:val="20"/>
              </w:rPr>
            </w:pPr>
            <w:r>
              <w:rPr>
                <w:sz w:val="20"/>
              </w:rPr>
              <w:t>BBCA</w:t>
            </w:r>
          </w:p>
        </w:tc>
        <w:tc>
          <w:tcPr>
            <w:tcW w:w="4343" w:type="dxa"/>
            <w:shd w:val="clear" w:color="auto" w:fill="E7E6E6"/>
          </w:tcPr>
          <w:p w14:paraId="612430B9" w14:textId="77777777" w:rsidR="00DA487C" w:rsidRDefault="00DA487C" w:rsidP="00A55496">
            <w:pPr>
              <w:pStyle w:val="TableParagraph"/>
              <w:ind w:left="185"/>
              <w:rPr>
                <w:sz w:val="20"/>
              </w:rPr>
            </w:pPr>
            <w:r>
              <w:rPr>
                <w:sz w:val="20"/>
              </w:rPr>
              <w:t>PT</w:t>
            </w:r>
            <w:r>
              <w:rPr>
                <w:spacing w:val="-4"/>
                <w:sz w:val="20"/>
              </w:rPr>
              <w:t xml:space="preserve"> </w:t>
            </w:r>
            <w:r>
              <w:rPr>
                <w:sz w:val="20"/>
              </w:rPr>
              <w:t>Bank Central Asia</w:t>
            </w:r>
            <w:r>
              <w:rPr>
                <w:spacing w:val="-2"/>
                <w:sz w:val="20"/>
              </w:rPr>
              <w:t xml:space="preserve"> </w:t>
            </w:r>
            <w:proofErr w:type="spellStart"/>
            <w:r>
              <w:rPr>
                <w:sz w:val="20"/>
              </w:rPr>
              <w:t>Tbk</w:t>
            </w:r>
            <w:proofErr w:type="spellEnd"/>
          </w:p>
        </w:tc>
        <w:tc>
          <w:tcPr>
            <w:tcW w:w="1880" w:type="dxa"/>
            <w:shd w:val="clear" w:color="auto" w:fill="E7E6E6"/>
          </w:tcPr>
          <w:p w14:paraId="446E14A7" w14:textId="77777777" w:rsidR="00DA487C" w:rsidRDefault="00DA487C" w:rsidP="00A55496">
            <w:pPr>
              <w:pStyle w:val="TableParagraph"/>
              <w:ind w:left="700" w:right="246"/>
              <w:jc w:val="center"/>
              <w:rPr>
                <w:sz w:val="20"/>
              </w:rPr>
            </w:pPr>
            <w:r w:rsidRPr="00431E8E">
              <w:rPr>
                <w:sz w:val="20"/>
              </w:rPr>
              <w:t>2017–2019</w:t>
            </w:r>
          </w:p>
        </w:tc>
      </w:tr>
      <w:tr w:rsidR="00DA487C" w14:paraId="15790221" w14:textId="77777777" w:rsidTr="00A55496">
        <w:trPr>
          <w:trHeight w:val="243"/>
          <w:jc w:val="center"/>
        </w:trPr>
        <w:tc>
          <w:tcPr>
            <w:tcW w:w="878" w:type="dxa"/>
            <w:shd w:val="clear" w:color="auto" w:fill="E7E6E6"/>
          </w:tcPr>
          <w:p w14:paraId="050C019B" w14:textId="77777777" w:rsidR="00DA487C" w:rsidRDefault="00DA487C" w:rsidP="00A55496">
            <w:pPr>
              <w:pStyle w:val="TableParagraph"/>
              <w:spacing w:line="220" w:lineRule="exact"/>
              <w:ind w:left="108"/>
              <w:rPr>
                <w:sz w:val="20"/>
              </w:rPr>
            </w:pPr>
            <w:r>
              <w:rPr>
                <w:sz w:val="20"/>
              </w:rPr>
              <w:t>BMRI</w:t>
            </w:r>
          </w:p>
        </w:tc>
        <w:tc>
          <w:tcPr>
            <w:tcW w:w="4343" w:type="dxa"/>
            <w:shd w:val="clear" w:color="auto" w:fill="E7E6E6"/>
          </w:tcPr>
          <w:p w14:paraId="38A64A7C" w14:textId="77777777" w:rsidR="00DA487C" w:rsidRDefault="00DA487C" w:rsidP="00A55496">
            <w:pPr>
              <w:pStyle w:val="TableParagraph"/>
              <w:spacing w:line="220" w:lineRule="exact"/>
              <w:ind w:left="185"/>
              <w:rPr>
                <w:sz w:val="20"/>
              </w:rPr>
            </w:pPr>
            <w:r>
              <w:rPr>
                <w:sz w:val="20"/>
              </w:rPr>
              <w:t>PT</w:t>
            </w:r>
            <w:r>
              <w:rPr>
                <w:spacing w:val="-5"/>
                <w:sz w:val="20"/>
              </w:rPr>
              <w:t xml:space="preserve"> </w:t>
            </w:r>
            <w:r>
              <w:rPr>
                <w:sz w:val="20"/>
              </w:rPr>
              <w:t xml:space="preserve">Bank </w:t>
            </w:r>
            <w:proofErr w:type="spellStart"/>
            <w:r>
              <w:rPr>
                <w:sz w:val="20"/>
              </w:rPr>
              <w:t>Mandiri</w:t>
            </w:r>
            <w:proofErr w:type="spellEnd"/>
            <w:r>
              <w:rPr>
                <w:spacing w:val="-1"/>
                <w:sz w:val="20"/>
              </w:rPr>
              <w:t xml:space="preserve"> </w:t>
            </w:r>
            <w:proofErr w:type="spellStart"/>
            <w:r>
              <w:rPr>
                <w:sz w:val="20"/>
              </w:rPr>
              <w:t>Tbk</w:t>
            </w:r>
            <w:proofErr w:type="spellEnd"/>
          </w:p>
        </w:tc>
        <w:tc>
          <w:tcPr>
            <w:tcW w:w="1880" w:type="dxa"/>
            <w:shd w:val="clear" w:color="auto" w:fill="E7E6E6"/>
          </w:tcPr>
          <w:p w14:paraId="5E845335" w14:textId="77777777" w:rsidR="00DA487C" w:rsidRDefault="00DA487C" w:rsidP="00A55496">
            <w:pPr>
              <w:pStyle w:val="TableParagraph"/>
              <w:spacing w:line="220" w:lineRule="exact"/>
              <w:ind w:left="700" w:right="246"/>
              <w:jc w:val="center"/>
              <w:rPr>
                <w:sz w:val="20"/>
              </w:rPr>
            </w:pPr>
            <w:r w:rsidRPr="00431E8E">
              <w:rPr>
                <w:sz w:val="20"/>
              </w:rPr>
              <w:t>2017–2019</w:t>
            </w:r>
          </w:p>
        </w:tc>
      </w:tr>
      <w:tr w:rsidR="00DA487C" w14:paraId="6AEDA541" w14:textId="77777777" w:rsidTr="00A55496">
        <w:trPr>
          <w:trHeight w:val="244"/>
          <w:jc w:val="center"/>
        </w:trPr>
        <w:tc>
          <w:tcPr>
            <w:tcW w:w="878" w:type="dxa"/>
            <w:shd w:val="clear" w:color="auto" w:fill="E7E6E6"/>
          </w:tcPr>
          <w:p w14:paraId="5E5378B7" w14:textId="2C62EA0A" w:rsidR="00DA487C" w:rsidRDefault="00DA487C" w:rsidP="00A55496">
            <w:pPr>
              <w:pStyle w:val="TableParagraph"/>
              <w:ind w:left="108"/>
              <w:rPr>
                <w:sz w:val="20"/>
              </w:rPr>
            </w:pPr>
            <w:r>
              <w:rPr>
                <w:sz w:val="20"/>
              </w:rPr>
              <w:t>BNI</w:t>
            </w:r>
          </w:p>
        </w:tc>
        <w:tc>
          <w:tcPr>
            <w:tcW w:w="4343" w:type="dxa"/>
            <w:shd w:val="clear" w:color="auto" w:fill="E7E6E6"/>
          </w:tcPr>
          <w:p w14:paraId="434ADE52" w14:textId="77777777" w:rsidR="00DA487C" w:rsidRDefault="00DA487C" w:rsidP="00A55496">
            <w:pPr>
              <w:pStyle w:val="TableParagraph"/>
              <w:ind w:left="185"/>
              <w:rPr>
                <w:sz w:val="20"/>
              </w:rPr>
            </w:pPr>
            <w:r>
              <w:rPr>
                <w:sz w:val="20"/>
              </w:rPr>
              <w:t>PT</w:t>
            </w:r>
            <w:r>
              <w:rPr>
                <w:spacing w:val="-3"/>
                <w:sz w:val="20"/>
              </w:rPr>
              <w:t xml:space="preserve"> </w:t>
            </w:r>
            <w:r>
              <w:rPr>
                <w:sz w:val="20"/>
              </w:rPr>
              <w:t>Bank Negara Indonesia</w:t>
            </w:r>
            <w:r>
              <w:rPr>
                <w:spacing w:val="-3"/>
                <w:sz w:val="20"/>
              </w:rPr>
              <w:t xml:space="preserve"> </w:t>
            </w:r>
            <w:proofErr w:type="spellStart"/>
            <w:r>
              <w:rPr>
                <w:sz w:val="20"/>
              </w:rPr>
              <w:t>Tbk</w:t>
            </w:r>
            <w:proofErr w:type="spellEnd"/>
          </w:p>
        </w:tc>
        <w:tc>
          <w:tcPr>
            <w:tcW w:w="1880" w:type="dxa"/>
            <w:shd w:val="clear" w:color="auto" w:fill="E7E6E6"/>
          </w:tcPr>
          <w:p w14:paraId="2A3FC176" w14:textId="77777777" w:rsidR="00DA487C" w:rsidRDefault="00DA487C" w:rsidP="00A55496">
            <w:pPr>
              <w:pStyle w:val="TableParagraph"/>
              <w:ind w:left="700" w:right="246"/>
              <w:jc w:val="center"/>
              <w:rPr>
                <w:sz w:val="20"/>
              </w:rPr>
            </w:pPr>
            <w:r w:rsidRPr="00431E8E">
              <w:rPr>
                <w:sz w:val="20"/>
              </w:rPr>
              <w:t>2017–2019</w:t>
            </w:r>
          </w:p>
        </w:tc>
      </w:tr>
      <w:tr w:rsidR="00DA487C" w14:paraId="6B5F5E40" w14:textId="77777777" w:rsidTr="00A55496">
        <w:trPr>
          <w:trHeight w:val="244"/>
          <w:jc w:val="center"/>
        </w:trPr>
        <w:tc>
          <w:tcPr>
            <w:tcW w:w="878" w:type="dxa"/>
            <w:shd w:val="clear" w:color="auto" w:fill="E7E6E6"/>
          </w:tcPr>
          <w:p w14:paraId="39E9A334" w14:textId="77777777" w:rsidR="00DA487C" w:rsidRDefault="00DA487C" w:rsidP="00A55496">
            <w:pPr>
              <w:pStyle w:val="TableParagraph"/>
              <w:ind w:left="108"/>
              <w:rPr>
                <w:sz w:val="20"/>
              </w:rPr>
            </w:pPr>
            <w:r>
              <w:rPr>
                <w:sz w:val="20"/>
              </w:rPr>
              <w:t>BBRI</w:t>
            </w:r>
          </w:p>
        </w:tc>
        <w:tc>
          <w:tcPr>
            <w:tcW w:w="4343" w:type="dxa"/>
            <w:shd w:val="clear" w:color="auto" w:fill="E7E6E6"/>
          </w:tcPr>
          <w:p w14:paraId="5326CDA4" w14:textId="77777777" w:rsidR="00DA487C" w:rsidRDefault="00DA487C" w:rsidP="00A55496">
            <w:pPr>
              <w:pStyle w:val="TableParagraph"/>
              <w:ind w:left="185"/>
              <w:rPr>
                <w:sz w:val="20"/>
              </w:rPr>
            </w:pPr>
            <w:r>
              <w:rPr>
                <w:sz w:val="20"/>
              </w:rPr>
              <w:t>PT</w:t>
            </w:r>
            <w:r>
              <w:rPr>
                <w:spacing w:val="-4"/>
                <w:sz w:val="20"/>
              </w:rPr>
              <w:t xml:space="preserve"> </w:t>
            </w:r>
            <w:r>
              <w:rPr>
                <w:sz w:val="20"/>
              </w:rPr>
              <w:t>Bank Rakyat Indonesia</w:t>
            </w:r>
            <w:r>
              <w:rPr>
                <w:spacing w:val="-3"/>
                <w:sz w:val="20"/>
              </w:rPr>
              <w:t xml:space="preserve"> </w:t>
            </w:r>
            <w:proofErr w:type="spellStart"/>
            <w:r>
              <w:rPr>
                <w:sz w:val="20"/>
              </w:rPr>
              <w:t>Tbk</w:t>
            </w:r>
            <w:proofErr w:type="spellEnd"/>
          </w:p>
        </w:tc>
        <w:tc>
          <w:tcPr>
            <w:tcW w:w="1880" w:type="dxa"/>
            <w:shd w:val="clear" w:color="auto" w:fill="E7E6E6"/>
          </w:tcPr>
          <w:p w14:paraId="12ABFEEC" w14:textId="77777777" w:rsidR="00DA487C" w:rsidRDefault="00DA487C" w:rsidP="00A55496">
            <w:pPr>
              <w:pStyle w:val="TableParagraph"/>
              <w:ind w:left="702" w:right="246"/>
              <w:jc w:val="center"/>
              <w:rPr>
                <w:sz w:val="20"/>
              </w:rPr>
            </w:pPr>
            <w:r w:rsidRPr="00431E8E">
              <w:rPr>
                <w:sz w:val="20"/>
              </w:rPr>
              <w:t>2017–2019</w:t>
            </w:r>
          </w:p>
        </w:tc>
      </w:tr>
      <w:tr w:rsidR="00DA487C" w14:paraId="26105079" w14:textId="77777777" w:rsidTr="00A55496">
        <w:trPr>
          <w:trHeight w:val="243"/>
          <w:jc w:val="center"/>
        </w:trPr>
        <w:tc>
          <w:tcPr>
            <w:tcW w:w="878" w:type="dxa"/>
            <w:shd w:val="clear" w:color="auto" w:fill="E7E6E6"/>
          </w:tcPr>
          <w:p w14:paraId="44AFB822" w14:textId="77777777" w:rsidR="00DA487C" w:rsidRDefault="00DA487C" w:rsidP="00A55496">
            <w:pPr>
              <w:pStyle w:val="TableParagraph"/>
              <w:spacing w:line="220" w:lineRule="exact"/>
              <w:ind w:left="108"/>
              <w:rPr>
                <w:sz w:val="20"/>
              </w:rPr>
            </w:pPr>
            <w:r>
              <w:rPr>
                <w:sz w:val="20"/>
              </w:rPr>
              <w:t>BJTM</w:t>
            </w:r>
          </w:p>
        </w:tc>
        <w:tc>
          <w:tcPr>
            <w:tcW w:w="4343" w:type="dxa"/>
            <w:shd w:val="clear" w:color="auto" w:fill="E7E6E6"/>
          </w:tcPr>
          <w:p w14:paraId="2437C5FF" w14:textId="77777777" w:rsidR="00DA487C" w:rsidRDefault="00DA487C" w:rsidP="00A55496">
            <w:pPr>
              <w:pStyle w:val="TableParagraph"/>
              <w:spacing w:line="220" w:lineRule="exact"/>
              <w:ind w:left="185"/>
              <w:rPr>
                <w:sz w:val="20"/>
              </w:rPr>
            </w:pPr>
            <w:r>
              <w:rPr>
                <w:sz w:val="20"/>
              </w:rPr>
              <w:t>PT</w:t>
            </w:r>
            <w:r>
              <w:rPr>
                <w:spacing w:val="-3"/>
                <w:sz w:val="20"/>
              </w:rPr>
              <w:t xml:space="preserve"> </w:t>
            </w:r>
            <w:r>
              <w:rPr>
                <w:sz w:val="20"/>
              </w:rPr>
              <w:t xml:space="preserve">BPD </w:t>
            </w:r>
            <w:proofErr w:type="spellStart"/>
            <w:r>
              <w:rPr>
                <w:sz w:val="20"/>
              </w:rPr>
              <w:t>Jawa</w:t>
            </w:r>
            <w:proofErr w:type="spellEnd"/>
            <w:r>
              <w:rPr>
                <w:sz w:val="20"/>
              </w:rPr>
              <w:t xml:space="preserve"> Timur</w:t>
            </w:r>
            <w:r>
              <w:rPr>
                <w:spacing w:val="-3"/>
                <w:sz w:val="20"/>
              </w:rPr>
              <w:t xml:space="preserve"> </w:t>
            </w:r>
            <w:proofErr w:type="spellStart"/>
            <w:r>
              <w:rPr>
                <w:sz w:val="20"/>
              </w:rPr>
              <w:t>Tbk</w:t>
            </w:r>
            <w:proofErr w:type="spellEnd"/>
          </w:p>
        </w:tc>
        <w:tc>
          <w:tcPr>
            <w:tcW w:w="1880" w:type="dxa"/>
            <w:shd w:val="clear" w:color="auto" w:fill="E7E6E6"/>
          </w:tcPr>
          <w:p w14:paraId="0AB392B8" w14:textId="77777777" w:rsidR="00DA487C" w:rsidRDefault="00DA487C" w:rsidP="00A55496">
            <w:pPr>
              <w:pStyle w:val="TableParagraph"/>
              <w:spacing w:line="220" w:lineRule="exact"/>
              <w:ind w:left="700" w:right="246"/>
              <w:jc w:val="center"/>
              <w:rPr>
                <w:sz w:val="20"/>
              </w:rPr>
            </w:pPr>
            <w:r w:rsidRPr="00431E8E">
              <w:rPr>
                <w:sz w:val="20"/>
              </w:rPr>
              <w:t>2017–2019</w:t>
            </w:r>
          </w:p>
        </w:tc>
      </w:tr>
      <w:tr w:rsidR="00DA487C" w14:paraId="34788E62" w14:textId="77777777" w:rsidTr="00A55496">
        <w:trPr>
          <w:trHeight w:val="244"/>
          <w:jc w:val="center"/>
        </w:trPr>
        <w:tc>
          <w:tcPr>
            <w:tcW w:w="878" w:type="dxa"/>
            <w:shd w:val="clear" w:color="auto" w:fill="E7E6E6"/>
          </w:tcPr>
          <w:p w14:paraId="5AEBEB33" w14:textId="77777777" w:rsidR="00DA487C" w:rsidRDefault="00DA487C" w:rsidP="00A55496">
            <w:pPr>
              <w:pStyle w:val="TableParagraph"/>
              <w:ind w:left="108"/>
              <w:rPr>
                <w:sz w:val="20"/>
              </w:rPr>
            </w:pPr>
          </w:p>
        </w:tc>
        <w:tc>
          <w:tcPr>
            <w:tcW w:w="4343" w:type="dxa"/>
            <w:shd w:val="clear" w:color="auto" w:fill="E7E6E6"/>
          </w:tcPr>
          <w:p w14:paraId="27AAFB0A" w14:textId="77777777" w:rsidR="00DA487C" w:rsidRDefault="00DA487C" w:rsidP="00A55496">
            <w:pPr>
              <w:pStyle w:val="TableParagraph"/>
              <w:ind w:left="185"/>
              <w:rPr>
                <w:sz w:val="20"/>
              </w:rPr>
            </w:pPr>
            <w:r>
              <w:rPr>
                <w:sz w:val="20"/>
              </w:rPr>
              <w:t>PT</w:t>
            </w:r>
            <w:r>
              <w:rPr>
                <w:spacing w:val="-3"/>
                <w:sz w:val="20"/>
              </w:rPr>
              <w:t xml:space="preserve"> </w:t>
            </w:r>
            <w:r>
              <w:rPr>
                <w:sz w:val="20"/>
              </w:rPr>
              <w:t xml:space="preserve">BPD </w:t>
            </w:r>
            <w:proofErr w:type="spellStart"/>
            <w:r>
              <w:rPr>
                <w:sz w:val="20"/>
              </w:rPr>
              <w:t>Jawa</w:t>
            </w:r>
            <w:proofErr w:type="spellEnd"/>
            <w:r>
              <w:rPr>
                <w:sz w:val="20"/>
              </w:rPr>
              <w:t xml:space="preserve"> </w:t>
            </w:r>
            <w:proofErr w:type="spellStart"/>
            <w:r>
              <w:rPr>
                <w:sz w:val="20"/>
              </w:rPr>
              <w:t>TengahTbk</w:t>
            </w:r>
            <w:proofErr w:type="spellEnd"/>
          </w:p>
        </w:tc>
        <w:tc>
          <w:tcPr>
            <w:tcW w:w="1880" w:type="dxa"/>
            <w:shd w:val="clear" w:color="auto" w:fill="E7E6E6"/>
          </w:tcPr>
          <w:p w14:paraId="656D7D9B" w14:textId="77777777" w:rsidR="00DA487C" w:rsidRDefault="00DA487C" w:rsidP="00A55496">
            <w:pPr>
              <w:pStyle w:val="TableParagraph"/>
              <w:ind w:left="700" w:right="246"/>
              <w:jc w:val="center"/>
              <w:rPr>
                <w:sz w:val="20"/>
              </w:rPr>
            </w:pPr>
            <w:r w:rsidRPr="00431E8E">
              <w:rPr>
                <w:sz w:val="20"/>
              </w:rPr>
              <w:t>2017–2019</w:t>
            </w:r>
          </w:p>
        </w:tc>
      </w:tr>
      <w:tr w:rsidR="00DA487C" w14:paraId="2D4E4397" w14:textId="77777777" w:rsidTr="00A55496">
        <w:trPr>
          <w:trHeight w:val="222"/>
          <w:jc w:val="center"/>
        </w:trPr>
        <w:tc>
          <w:tcPr>
            <w:tcW w:w="878" w:type="dxa"/>
            <w:shd w:val="clear" w:color="auto" w:fill="E7E6E6"/>
          </w:tcPr>
          <w:p w14:paraId="0FFB0EBC" w14:textId="77777777" w:rsidR="00DA487C" w:rsidRDefault="00DA487C" w:rsidP="00A55496">
            <w:pPr>
              <w:pStyle w:val="TableParagraph"/>
              <w:spacing w:line="202" w:lineRule="exact"/>
              <w:ind w:left="108"/>
              <w:rPr>
                <w:sz w:val="20"/>
              </w:rPr>
            </w:pPr>
            <w:r>
              <w:rPr>
                <w:sz w:val="20"/>
              </w:rPr>
              <w:t>ADMF</w:t>
            </w:r>
          </w:p>
        </w:tc>
        <w:tc>
          <w:tcPr>
            <w:tcW w:w="4343" w:type="dxa"/>
            <w:shd w:val="clear" w:color="auto" w:fill="E7E6E6"/>
          </w:tcPr>
          <w:p w14:paraId="2D710090" w14:textId="77777777" w:rsidR="00DA487C" w:rsidRDefault="00DA487C" w:rsidP="00A55496">
            <w:pPr>
              <w:pStyle w:val="TableParagraph"/>
              <w:spacing w:line="202" w:lineRule="exact"/>
              <w:ind w:left="185"/>
              <w:rPr>
                <w:sz w:val="20"/>
              </w:rPr>
            </w:pPr>
            <w:r>
              <w:rPr>
                <w:sz w:val="20"/>
              </w:rPr>
              <w:t>PT</w:t>
            </w:r>
            <w:r>
              <w:rPr>
                <w:spacing w:val="-4"/>
                <w:sz w:val="20"/>
              </w:rPr>
              <w:t xml:space="preserve"> </w:t>
            </w:r>
            <w:proofErr w:type="spellStart"/>
            <w:r>
              <w:rPr>
                <w:sz w:val="20"/>
              </w:rPr>
              <w:t>Adira</w:t>
            </w:r>
            <w:proofErr w:type="spellEnd"/>
            <w:r>
              <w:rPr>
                <w:sz w:val="20"/>
              </w:rPr>
              <w:t xml:space="preserve"> </w:t>
            </w:r>
            <w:proofErr w:type="spellStart"/>
            <w:r>
              <w:rPr>
                <w:sz w:val="20"/>
              </w:rPr>
              <w:t>Dinamika</w:t>
            </w:r>
            <w:proofErr w:type="spellEnd"/>
            <w:r>
              <w:rPr>
                <w:sz w:val="20"/>
              </w:rPr>
              <w:t xml:space="preserve"> Multi Finance</w:t>
            </w:r>
            <w:r>
              <w:rPr>
                <w:spacing w:val="-3"/>
                <w:sz w:val="20"/>
              </w:rPr>
              <w:t xml:space="preserve"> </w:t>
            </w:r>
            <w:proofErr w:type="spellStart"/>
            <w:r>
              <w:rPr>
                <w:sz w:val="20"/>
              </w:rPr>
              <w:t>Tbk</w:t>
            </w:r>
            <w:proofErr w:type="spellEnd"/>
          </w:p>
        </w:tc>
        <w:tc>
          <w:tcPr>
            <w:tcW w:w="1880" w:type="dxa"/>
            <w:shd w:val="clear" w:color="auto" w:fill="E7E6E6"/>
          </w:tcPr>
          <w:p w14:paraId="632F6BFA" w14:textId="77777777" w:rsidR="00DA487C" w:rsidRDefault="00DA487C" w:rsidP="00A55496">
            <w:pPr>
              <w:pStyle w:val="TableParagraph"/>
              <w:spacing w:line="202" w:lineRule="exact"/>
              <w:ind w:left="700" w:right="246"/>
              <w:jc w:val="center"/>
              <w:rPr>
                <w:sz w:val="20"/>
              </w:rPr>
            </w:pPr>
            <w:r w:rsidRPr="00431E8E">
              <w:rPr>
                <w:sz w:val="20"/>
              </w:rPr>
              <w:t>2017–2019</w:t>
            </w:r>
          </w:p>
        </w:tc>
      </w:tr>
      <w:tr w:rsidR="00DA487C" w14:paraId="1715FED3" w14:textId="77777777" w:rsidTr="00C100C1">
        <w:trPr>
          <w:trHeight w:val="222"/>
          <w:jc w:val="center"/>
        </w:trPr>
        <w:tc>
          <w:tcPr>
            <w:tcW w:w="878" w:type="dxa"/>
            <w:tcBorders>
              <w:bottom w:val="single" w:sz="4" w:space="0" w:color="auto"/>
            </w:tcBorders>
            <w:shd w:val="clear" w:color="auto" w:fill="E7E6E6"/>
          </w:tcPr>
          <w:p w14:paraId="2E83D5AB" w14:textId="77777777" w:rsidR="00DA487C" w:rsidRDefault="00DA487C" w:rsidP="00A55496">
            <w:pPr>
              <w:pStyle w:val="TableParagraph"/>
              <w:spacing w:line="202" w:lineRule="exact"/>
              <w:ind w:left="108"/>
              <w:rPr>
                <w:sz w:val="20"/>
              </w:rPr>
            </w:pPr>
            <w:r>
              <w:rPr>
                <w:sz w:val="20"/>
              </w:rPr>
              <w:t>BFIN</w:t>
            </w:r>
          </w:p>
        </w:tc>
        <w:tc>
          <w:tcPr>
            <w:tcW w:w="4343" w:type="dxa"/>
            <w:tcBorders>
              <w:bottom w:val="single" w:sz="4" w:space="0" w:color="auto"/>
            </w:tcBorders>
            <w:shd w:val="clear" w:color="auto" w:fill="E7E6E6"/>
          </w:tcPr>
          <w:p w14:paraId="12A8C47C" w14:textId="77777777" w:rsidR="00DA487C" w:rsidRDefault="00DA487C" w:rsidP="00A55496">
            <w:pPr>
              <w:pStyle w:val="TableParagraph"/>
              <w:spacing w:line="202" w:lineRule="exact"/>
              <w:ind w:left="185"/>
              <w:rPr>
                <w:sz w:val="20"/>
              </w:rPr>
            </w:pPr>
            <w:r>
              <w:rPr>
                <w:sz w:val="20"/>
              </w:rPr>
              <w:t xml:space="preserve">PT BFI Finance Indonesia </w:t>
            </w:r>
            <w:proofErr w:type="spellStart"/>
            <w:r>
              <w:rPr>
                <w:sz w:val="20"/>
              </w:rPr>
              <w:t>Tbk</w:t>
            </w:r>
            <w:proofErr w:type="spellEnd"/>
          </w:p>
        </w:tc>
        <w:tc>
          <w:tcPr>
            <w:tcW w:w="1880" w:type="dxa"/>
            <w:tcBorders>
              <w:bottom w:val="single" w:sz="4" w:space="0" w:color="auto"/>
            </w:tcBorders>
            <w:shd w:val="clear" w:color="auto" w:fill="E7E6E6"/>
          </w:tcPr>
          <w:p w14:paraId="6F8687D6" w14:textId="77777777" w:rsidR="00DA487C" w:rsidRDefault="00DA487C" w:rsidP="00A55496">
            <w:pPr>
              <w:pStyle w:val="TableParagraph"/>
              <w:spacing w:line="202" w:lineRule="exact"/>
              <w:ind w:left="700" w:right="246"/>
              <w:jc w:val="center"/>
              <w:rPr>
                <w:sz w:val="20"/>
              </w:rPr>
            </w:pPr>
            <w:r w:rsidRPr="00431E8E">
              <w:rPr>
                <w:sz w:val="20"/>
              </w:rPr>
              <w:t>2017–2019</w:t>
            </w:r>
          </w:p>
        </w:tc>
      </w:tr>
    </w:tbl>
    <w:p w14:paraId="41DDB5A6" w14:textId="77777777" w:rsidR="00DA487C" w:rsidRDefault="00DA487C" w:rsidP="00DA487C">
      <w:pPr>
        <w:pStyle w:val="BodyText"/>
        <w:spacing w:before="11"/>
        <w:rPr>
          <w:b/>
          <w:sz w:val="24"/>
        </w:rPr>
      </w:pPr>
    </w:p>
    <w:p w14:paraId="041F54B6" w14:textId="43A77A55" w:rsidR="00DA487C" w:rsidRPr="007A1943" w:rsidRDefault="00DA487C" w:rsidP="00962C9A">
      <w:pPr>
        <w:pStyle w:val="BodyText"/>
        <w:spacing w:line="276" w:lineRule="auto"/>
        <w:ind w:left="119" w:right="294" w:firstLine="566"/>
        <w:jc w:val="both"/>
      </w:pPr>
      <w:proofErr w:type="spellStart"/>
      <w:r>
        <w:t>Penelitian</w:t>
      </w:r>
      <w:proofErr w:type="spellEnd"/>
      <w:r>
        <w:t xml:space="preserve"> </w:t>
      </w:r>
      <w:proofErr w:type="spellStart"/>
      <w:r>
        <w:t>ini</w:t>
      </w:r>
      <w:proofErr w:type="spellEnd"/>
      <w:r>
        <w:t xml:space="preserve"> </w:t>
      </w:r>
      <w:proofErr w:type="spellStart"/>
      <w:r>
        <w:t>menguji</w:t>
      </w:r>
      <w:proofErr w:type="spellEnd"/>
      <w:r>
        <w:t xml:space="preserve"> </w:t>
      </w:r>
      <w:proofErr w:type="spellStart"/>
      <w:r>
        <w:t>pengaruh</w:t>
      </w:r>
      <w:proofErr w:type="spellEnd"/>
      <w:r>
        <w:t xml:space="preserve"> </w:t>
      </w:r>
      <w:proofErr w:type="spellStart"/>
      <w:r>
        <w:t>reputasi</w:t>
      </w:r>
      <w:proofErr w:type="spellEnd"/>
      <w:r>
        <w:t xml:space="preserve"> </w:t>
      </w:r>
      <w:proofErr w:type="spellStart"/>
      <w:r>
        <w:t>perusahaan</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Variabel</w:t>
      </w:r>
      <w:proofErr w:type="spellEnd"/>
      <w:r>
        <w:t xml:space="preserve"> </w:t>
      </w:r>
      <w:proofErr w:type="spellStart"/>
      <w:r>
        <w:t>reputasi</w:t>
      </w:r>
      <w:proofErr w:type="spellEnd"/>
      <w:r>
        <w:t xml:space="preserve"> </w:t>
      </w:r>
      <w:proofErr w:type="spellStart"/>
      <w:r>
        <w:t>perusahaan</w:t>
      </w:r>
      <w:proofErr w:type="spellEnd"/>
      <w:r>
        <w:t xml:space="preserve"> </w:t>
      </w:r>
      <w:proofErr w:type="spellStart"/>
      <w:r>
        <w:t>diukur</w:t>
      </w:r>
      <w:proofErr w:type="spellEnd"/>
      <w:r>
        <w:t xml:space="preserve"> </w:t>
      </w:r>
      <w:proofErr w:type="spellStart"/>
      <w:r>
        <w:t>menggunakan</w:t>
      </w:r>
      <w:proofErr w:type="spellEnd"/>
      <w:r>
        <w:t xml:space="preserve"> </w:t>
      </w:r>
      <w:proofErr w:type="spellStart"/>
      <w:r>
        <w:t>dimensi</w:t>
      </w:r>
      <w:proofErr w:type="spellEnd"/>
      <w:r>
        <w:t xml:space="preserve"> </w:t>
      </w:r>
      <w:proofErr w:type="spellStart"/>
      <w:r>
        <w:t>berdasarkan</w:t>
      </w:r>
      <w:proofErr w:type="spellEnd"/>
      <w:r>
        <w:t xml:space="preserve"> pada </w:t>
      </w:r>
      <w:proofErr w:type="spellStart"/>
      <w:r>
        <w:t>hasil</w:t>
      </w:r>
      <w:proofErr w:type="spellEnd"/>
      <w:r>
        <w:t xml:space="preserve"> survey </w:t>
      </w:r>
      <w:proofErr w:type="spellStart"/>
      <w:r>
        <w:t>dari</w:t>
      </w:r>
      <w:proofErr w:type="spellEnd"/>
      <w:r>
        <w:t xml:space="preserve"> </w:t>
      </w:r>
      <w:r>
        <w:rPr>
          <w:i/>
          <w:iCs/>
        </w:rPr>
        <w:t>Frontier Consulting Group</w:t>
      </w:r>
      <w:r>
        <w:t xml:space="preserve"> </w:t>
      </w:r>
      <w:proofErr w:type="spellStart"/>
      <w:r>
        <w:t>dalam</w:t>
      </w:r>
      <w:proofErr w:type="spellEnd"/>
      <w:r>
        <w:t xml:space="preserve"> </w:t>
      </w:r>
      <w:proofErr w:type="spellStart"/>
      <w:r>
        <w:t>bentuk</w:t>
      </w:r>
      <w:proofErr w:type="spellEnd"/>
      <w:r>
        <w:t xml:space="preserve"> “</w:t>
      </w:r>
      <w:r>
        <w:rPr>
          <w:i/>
          <w:iCs/>
        </w:rPr>
        <w:t>Corporate Image Award</w:t>
      </w:r>
      <w:r>
        <w:t xml:space="preserve">” </w:t>
      </w:r>
      <w:proofErr w:type="spellStart"/>
      <w:r>
        <w:t>yaitu</w:t>
      </w:r>
      <w:proofErr w:type="spellEnd"/>
      <w:r>
        <w:t xml:space="preserve"> (1) </w:t>
      </w:r>
      <w:r>
        <w:rPr>
          <w:i/>
          <w:iCs/>
        </w:rPr>
        <w:t>Quality</w:t>
      </w:r>
      <w:r>
        <w:t xml:space="preserve">, (2) </w:t>
      </w:r>
      <w:r>
        <w:rPr>
          <w:i/>
          <w:iCs/>
        </w:rPr>
        <w:t>Performance</w:t>
      </w:r>
      <w:r>
        <w:t xml:space="preserve">, (3) </w:t>
      </w:r>
      <w:r>
        <w:rPr>
          <w:i/>
          <w:iCs/>
        </w:rPr>
        <w:t>Responsibility</w:t>
      </w:r>
      <w:r>
        <w:t xml:space="preserve">, dan (4) </w:t>
      </w:r>
      <w:r>
        <w:rPr>
          <w:i/>
          <w:iCs/>
        </w:rPr>
        <w:t>Attractiveness</w:t>
      </w:r>
      <w:r>
        <w:t xml:space="preserve">. </w:t>
      </w:r>
      <w:proofErr w:type="spellStart"/>
      <w:r>
        <w:t>Pengukuran</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didasarkan</w:t>
      </w:r>
      <w:proofErr w:type="spellEnd"/>
      <w:r>
        <w:t xml:space="preserve"> pada </w:t>
      </w:r>
      <w:proofErr w:type="spellStart"/>
      <w:r>
        <w:t>karakteristik</w:t>
      </w:r>
      <w:proofErr w:type="spellEnd"/>
      <w:r>
        <w:t xml:space="preserve"> </w:t>
      </w:r>
      <w:proofErr w:type="spellStart"/>
      <w:r>
        <w:t>kerangka</w:t>
      </w:r>
      <w:proofErr w:type="spellEnd"/>
      <w:r>
        <w:t xml:space="preserve"> </w:t>
      </w:r>
      <w:proofErr w:type="spellStart"/>
      <w:r>
        <w:t>konseptual</w:t>
      </w:r>
      <w:proofErr w:type="spellEnd"/>
      <w:r>
        <w:t xml:space="preserve"> IFRS </w:t>
      </w:r>
      <w:proofErr w:type="spellStart"/>
      <w:r>
        <w:t>yaitu</w:t>
      </w:r>
      <w:proofErr w:type="spellEnd"/>
      <w:r>
        <w:t xml:space="preserve"> (1) </w:t>
      </w:r>
      <w:r>
        <w:rPr>
          <w:i/>
          <w:iCs/>
        </w:rPr>
        <w:t>relevance</w:t>
      </w:r>
      <w:r>
        <w:t xml:space="preserve">, (2) </w:t>
      </w:r>
      <w:r>
        <w:rPr>
          <w:i/>
          <w:iCs/>
        </w:rPr>
        <w:t>faithful representation</w:t>
      </w:r>
      <w:r>
        <w:t xml:space="preserve">, (3) </w:t>
      </w:r>
      <w:r>
        <w:rPr>
          <w:i/>
          <w:iCs/>
        </w:rPr>
        <w:t>understandability</w:t>
      </w:r>
      <w:r>
        <w:t xml:space="preserve">, dan (4) </w:t>
      </w:r>
      <w:r>
        <w:rPr>
          <w:i/>
          <w:iCs/>
        </w:rPr>
        <w:t>comparability</w:t>
      </w:r>
      <w:r>
        <w:t xml:space="preserve"> </w:t>
      </w:r>
      <w:proofErr w:type="spellStart"/>
      <w:r>
        <w:t>dalam</w:t>
      </w:r>
      <w:proofErr w:type="spellEnd"/>
      <w:r>
        <w:t xml:space="preserve"> </w:t>
      </w:r>
      <w:proofErr w:type="spellStart"/>
      <w:r>
        <w:t>bentuk</w:t>
      </w:r>
      <w:proofErr w:type="spellEnd"/>
      <w:r>
        <w:t xml:space="preserve"> </w:t>
      </w:r>
      <w:proofErr w:type="spellStart"/>
      <w:r>
        <w:t>skala</w:t>
      </w:r>
      <w:proofErr w:type="spellEnd"/>
      <w:r>
        <w:t xml:space="preserve"> </w:t>
      </w:r>
      <w:proofErr w:type="spellStart"/>
      <w:r>
        <w:t>indeks</w:t>
      </w:r>
      <w:proofErr w:type="spellEnd"/>
      <w:r>
        <w:t xml:space="preserve"> </w:t>
      </w:r>
      <w:proofErr w:type="spellStart"/>
      <w:r>
        <w:t>semantik</w:t>
      </w:r>
      <w:proofErr w:type="spellEnd"/>
      <w:r>
        <w:t xml:space="preserve"> </w:t>
      </w:r>
      <w:proofErr w:type="spellStart"/>
      <w:r>
        <w:t>diferensial</w:t>
      </w:r>
      <w:proofErr w:type="spellEnd"/>
      <w:r>
        <w:t xml:space="preserve"> 1-5.</w:t>
      </w:r>
      <w:r w:rsidR="00962C9A">
        <w:t xml:space="preserve"> </w:t>
      </w:r>
      <w:r>
        <w:rPr>
          <w:spacing w:val="-1"/>
        </w:rPr>
        <w:t xml:space="preserve">Pada </w:t>
      </w:r>
      <w:proofErr w:type="spellStart"/>
      <w:r>
        <w:rPr>
          <w:spacing w:val="-1"/>
        </w:rPr>
        <w:t>penelitian</w:t>
      </w:r>
      <w:proofErr w:type="spellEnd"/>
      <w:r>
        <w:rPr>
          <w:spacing w:val="-1"/>
        </w:rPr>
        <w:t xml:space="preserve"> </w:t>
      </w:r>
      <w:proofErr w:type="spellStart"/>
      <w:r>
        <w:rPr>
          <w:spacing w:val="-1"/>
        </w:rPr>
        <w:t>ini</w:t>
      </w:r>
      <w:proofErr w:type="spellEnd"/>
      <w:r>
        <w:rPr>
          <w:spacing w:val="-1"/>
        </w:rPr>
        <w:t xml:space="preserve"> </w:t>
      </w:r>
      <w:proofErr w:type="spellStart"/>
      <w:r>
        <w:rPr>
          <w:spacing w:val="-1"/>
        </w:rPr>
        <w:t>menggunakan</w:t>
      </w:r>
      <w:proofErr w:type="spellEnd"/>
      <w:r>
        <w:rPr>
          <w:spacing w:val="-1"/>
        </w:rPr>
        <w:t xml:space="preserve"> </w:t>
      </w:r>
      <w:r>
        <w:rPr>
          <w:i/>
          <w:iCs/>
          <w:spacing w:val="-1"/>
        </w:rPr>
        <w:t>Partial Least Square</w:t>
      </w:r>
      <w:r>
        <w:rPr>
          <w:spacing w:val="-1"/>
        </w:rPr>
        <w:t xml:space="preserve"> (PLS) </w:t>
      </w:r>
      <w:r>
        <w:rPr>
          <w:i/>
          <w:iCs/>
          <w:spacing w:val="-1"/>
        </w:rPr>
        <w:t>Regression</w:t>
      </w:r>
      <w:r w:rsidR="00962C9A">
        <w:rPr>
          <w:spacing w:val="-1"/>
        </w:rPr>
        <w:t xml:space="preserve"> </w:t>
      </w:r>
      <w:proofErr w:type="spellStart"/>
      <w:r w:rsidR="00962C9A">
        <w:rPr>
          <w:spacing w:val="-1"/>
        </w:rPr>
        <w:t>untuk</w:t>
      </w:r>
      <w:proofErr w:type="spellEnd"/>
      <w:r w:rsidR="00962C9A">
        <w:rPr>
          <w:spacing w:val="-1"/>
        </w:rPr>
        <w:t xml:space="preserve"> </w:t>
      </w:r>
      <w:proofErr w:type="spellStart"/>
      <w:r w:rsidR="00962C9A">
        <w:rPr>
          <w:spacing w:val="-1"/>
        </w:rPr>
        <w:t>pengujian</w:t>
      </w:r>
      <w:proofErr w:type="spellEnd"/>
      <w:r w:rsidR="00962C9A">
        <w:rPr>
          <w:spacing w:val="-1"/>
        </w:rPr>
        <w:t xml:space="preserve"> </w:t>
      </w:r>
      <w:proofErr w:type="spellStart"/>
      <w:r w:rsidR="00962C9A">
        <w:rPr>
          <w:spacing w:val="-1"/>
        </w:rPr>
        <w:t>hipotesis</w:t>
      </w:r>
      <w:proofErr w:type="spellEnd"/>
      <w:r w:rsidR="00962C9A">
        <w:rPr>
          <w:spacing w:val="-1"/>
        </w:rPr>
        <w:t>.</w:t>
      </w:r>
    </w:p>
    <w:p w14:paraId="7F0DA1FC" w14:textId="77777777" w:rsidR="00DA487C" w:rsidRDefault="00DA487C" w:rsidP="004F01DD">
      <w:pPr>
        <w:pStyle w:val="BodyText"/>
        <w:spacing w:line="276" w:lineRule="auto"/>
        <w:ind w:right="132"/>
        <w:jc w:val="both"/>
      </w:pPr>
    </w:p>
    <w:p w14:paraId="490C464B" w14:textId="77777777" w:rsidR="004F01DD" w:rsidRDefault="004F01DD" w:rsidP="004F01DD">
      <w:pPr>
        <w:pStyle w:val="Heading1"/>
        <w:spacing w:before="169"/>
        <w:jc w:val="both"/>
      </w:pPr>
      <w:r>
        <w:rPr>
          <w:color w:val="00AF50"/>
        </w:rPr>
        <w:t>RESULTS</w:t>
      </w:r>
      <w:r>
        <w:rPr>
          <w:color w:val="00AF50"/>
          <w:spacing w:val="-3"/>
        </w:rPr>
        <w:t xml:space="preserve"> </w:t>
      </w:r>
      <w:r>
        <w:rPr>
          <w:color w:val="00AF50"/>
        </w:rPr>
        <w:t>AND</w:t>
      </w:r>
      <w:r>
        <w:rPr>
          <w:color w:val="00AF50"/>
          <w:spacing w:val="-3"/>
        </w:rPr>
        <w:t xml:space="preserve"> </w:t>
      </w:r>
      <w:r>
        <w:rPr>
          <w:color w:val="00AF50"/>
        </w:rPr>
        <w:t>DISCUSSION</w:t>
      </w:r>
    </w:p>
    <w:p w14:paraId="76F18DEC" w14:textId="77777777" w:rsidR="004F01DD" w:rsidRDefault="004F01DD" w:rsidP="004F01DD">
      <w:pPr>
        <w:pStyle w:val="BodyText"/>
        <w:spacing w:before="2"/>
        <w:rPr>
          <w:b/>
          <w:sz w:val="29"/>
        </w:rPr>
      </w:pPr>
    </w:p>
    <w:p w14:paraId="77074362" w14:textId="1E3A2000" w:rsidR="005C3D4E" w:rsidRDefault="00C21210" w:rsidP="007B5DBB">
      <w:pPr>
        <w:pStyle w:val="BodyText"/>
        <w:spacing w:line="276" w:lineRule="auto"/>
        <w:ind w:left="277" w:right="132" w:firstLine="566"/>
        <w:jc w:val="both"/>
      </w:pPr>
      <w:proofErr w:type="spellStart"/>
      <w:r>
        <w:t>Analisis</w:t>
      </w:r>
      <w:proofErr w:type="spellEnd"/>
      <w:r>
        <w:t xml:space="preserve"> </w:t>
      </w:r>
      <w:proofErr w:type="spellStart"/>
      <w:r>
        <w:t>stat</w:t>
      </w:r>
      <w:r w:rsidR="00E677A6">
        <w:t>i</w:t>
      </w:r>
      <w:r>
        <w:t>stik</w:t>
      </w:r>
      <w:proofErr w:type="spellEnd"/>
      <w:r>
        <w:t xml:space="preserve"> </w:t>
      </w:r>
      <w:proofErr w:type="spellStart"/>
      <w:r>
        <w:t>deskriptif</w:t>
      </w:r>
      <w:proofErr w:type="spellEnd"/>
      <w:r>
        <w:t xml:space="preserve"> </w:t>
      </w:r>
      <w:proofErr w:type="spellStart"/>
      <w:r>
        <w:t>dimasudkan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karakteristik</w:t>
      </w:r>
      <w:proofErr w:type="spellEnd"/>
      <w:r>
        <w:t xml:space="preserve"> </w:t>
      </w:r>
      <w:proofErr w:type="spellStart"/>
      <w:r>
        <w:t>dari</w:t>
      </w:r>
      <w:proofErr w:type="spellEnd"/>
      <w:r>
        <w:t xml:space="preserve"> </w:t>
      </w:r>
      <w:proofErr w:type="spellStart"/>
      <w:r>
        <w:t>variabel</w:t>
      </w:r>
      <w:proofErr w:type="spellEnd"/>
      <w:r>
        <w:t xml:space="preserve"> yang </w:t>
      </w:r>
      <w:proofErr w:type="spellStart"/>
      <w:r>
        <w:t>diteliti</w:t>
      </w:r>
      <w:proofErr w:type="spellEnd"/>
      <w:r>
        <w:t xml:space="preserve">, </w:t>
      </w:r>
      <w:proofErr w:type="spellStart"/>
      <w:r>
        <w:t>diantaranya</w:t>
      </w:r>
      <w:proofErr w:type="spellEnd"/>
      <w:r>
        <w:t xml:space="preserve"> </w:t>
      </w:r>
      <w:proofErr w:type="spellStart"/>
      <w:r>
        <w:t>mengeta</w:t>
      </w:r>
      <w:r w:rsidR="00E677A6">
        <w:t>h</w:t>
      </w:r>
      <w:r>
        <w:t>ui</w:t>
      </w:r>
      <w:proofErr w:type="spellEnd"/>
      <w:r>
        <w:t xml:space="preserve"> </w:t>
      </w:r>
      <w:proofErr w:type="spellStart"/>
      <w:r>
        <w:t>nilai</w:t>
      </w:r>
      <w:proofErr w:type="spellEnd"/>
      <w:r>
        <w:t xml:space="preserve"> minimum, </w:t>
      </w:r>
      <w:proofErr w:type="spellStart"/>
      <w:r>
        <w:t>maksimum</w:t>
      </w:r>
      <w:proofErr w:type="spellEnd"/>
      <w:r>
        <w:t xml:space="preserve">, rata-rata, dan </w:t>
      </w:r>
      <w:proofErr w:type="spellStart"/>
      <w:r>
        <w:t>standar</w:t>
      </w:r>
      <w:proofErr w:type="spellEnd"/>
      <w:r>
        <w:t xml:space="preserve"> </w:t>
      </w:r>
      <w:proofErr w:type="spellStart"/>
      <w:r>
        <w:t>deviasi</w:t>
      </w:r>
      <w:proofErr w:type="spellEnd"/>
      <w:r>
        <w:t xml:space="preserve">. </w:t>
      </w:r>
      <w:r>
        <w:rPr>
          <w:bCs/>
        </w:rPr>
        <w:t xml:space="preserve">Hasil </w:t>
      </w:r>
      <w:proofErr w:type="spellStart"/>
      <w:r>
        <w:rPr>
          <w:bCs/>
        </w:rPr>
        <w:t>analisis</w:t>
      </w:r>
      <w:proofErr w:type="spellEnd"/>
      <w:r>
        <w:rPr>
          <w:bCs/>
        </w:rPr>
        <w:t xml:space="preserve"> </w:t>
      </w:r>
      <w:proofErr w:type="spellStart"/>
      <w:r>
        <w:rPr>
          <w:bCs/>
        </w:rPr>
        <w:t>deskriptif</w:t>
      </w:r>
      <w:proofErr w:type="spellEnd"/>
      <w:r>
        <w:rPr>
          <w:bCs/>
        </w:rPr>
        <w:t xml:space="preserve"> </w:t>
      </w:r>
      <w:proofErr w:type="spellStart"/>
      <w:r>
        <w:rPr>
          <w:bCs/>
        </w:rPr>
        <w:t>untuk</w:t>
      </w:r>
      <w:proofErr w:type="spellEnd"/>
      <w:r>
        <w:rPr>
          <w:bCs/>
        </w:rPr>
        <w:t xml:space="preserve"> </w:t>
      </w:r>
      <w:proofErr w:type="spellStart"/>
      <w:r>
        <w:rPr>
          <w:bCs/>
        </w:rPr>
        <w:t>variabel</w:t>
      </w:r>
      <w:proofErr w:type="spellEnd"/>
      <w:r>
        <w:rPr>
          <w:bCs/>
        </w:rPr>
        <w:t xml:space="preserve"> </w:t>
      </w:r>
      <w:proofErr w:type="spellStart"/>
      <w:r>
        <w:rPr>
          <w:bCs/>
        </w:rPr>
        <w:t>reputasi</w:t>
      </w:r>
      <w:proofErr w:type="spellEnd"/>
      <w:r>
        <w:rPr>
          <w:bCs/>
        </w:rPr>
        <w:t xml:space="preserve"> </w:t>
      </w:r>
      <w:proofErr w:type="spellStart"/>
      <w:r>
        <w:rPr>
          <w:bCs/>
        </w:rPr>
        <w:t>perusahaan</w:t>
      </w:r>
      <w:proofErr w:type="spellEnd"/>
      <w:r>
        <w:rPr>
          <w:bCs/>
        </w:rPr>
        <w:t xml:space="preserve"> </w:t>
      </w:r>
      <w:proofErr w:type="spellStart"/>
      <w:r>
        <w:rPr>
          <w:bCs/>
        </w:rPr>
        <w:t>dapat</w:t>
      </w:r>
      <w:proofErr w:type="spellEnd"/>
      <w:r>
        <w:rPr>
          <w:bCs/>
        </w:rPr>
        <w:t xml:space="preserve"> </w:t>
      </w:r>
      <w:proofErr w:type="spellStart"/>
      <w:r>
        <w:rPr>
          <w:bCs/>
        </w:rPr>
        <w:t>dilihat</w:t>
      </w:r>
      <w:proofErr w:type="spellEnd"/>
      <w:r>
        <w:rPr>
          <w:bCs/>
        </w:rPr>
        <w:t xml:space="preserve"> </w:t>
      </w:r>
      <w:proofErr w:type="spellStart"/>
      <w:r>
        <w:rPr>
          <w:bCs/>
        </w:rPr>
        <w:t>melalui</w:t>
      </w:r>
      <w:proofErr w:type="spellEnd"/>
      <w:r>
        <w:rPr>
          <w:bCs/>
        </w:rPr>
        <w:t xml:space="preserve"> </w:t>
      </w:r>
      <w:proofErr w:type="spellStart"/>
      <w:r>
        <w:rPr>
          <w:bCs/>
        </w:rPr>
        <w:t>tabel</w:t>
      </w:r>
      <w:proofErr w:type="spellEnd"/>
      <w:r>
        <w:rPr>
          <w:bCs/>
        </w:rPr>
        <w:t xml:space="preserve"> </w:t>
      </w:r>
      <w:proofErr w:type="spellStart"/>
      <w:r>
        <w:rPr>
          <w:bCs/>
        </w:rPr>
        <w:t>berikut</w:t>
      </w:r>
      <w:proofErr w:type="spellEnd"/>
      <w:r>
        <w:rPr>
          <w:bCs/>
        </w:rPr>
        <w:t>:</w:t>
      </w:r>
    </w:p>
    <w:p w14:paraId="172CFCF6" w14:textId="0439FD1B" w:rsidR="004F01DD" w:rsidRPr="00024F6A" w:rsidRDefault="004F01DD" w:rsidP="00024F6A">
      <w:pPr>
        <w:pStyle w:val="BodyText"/>
        <w:spacing w:line="276" w:lineRule="auto"/>
        <w:ind w:left="277" w:right="134"/>
        <w:jc w:val="both"/>
      </w:pPr>
    </w:p>
    <w:p w14:paraId="33F11534" w14:textId="384C0DAE" w:rsidR="004F01DD" w:rsidRPr="00D3203D" w:rsidRDefault="004F01DD" w:rsidP="004F01DD">
      <w:pPr>
        <w:ind w:left="2229" w:right="2093"/>
        <w:jc w:val="center"/>
        <w:rPr>
          <w:b/>
          <w:i/>
          <w:iCs/>
          <w:sz w:val="20"/>
        </w:rPr>
      </w:pPr>
      <w:r>
        <w:rPr>
          <w:b/>
          <w:sz w:val="20"/>
        </w:rPr>
        <w:lastRenderedPageBreak/>
        <w:t>Table</w:t>
      </w:r>
      <w:r>
        <w:rPr>
          <w:b/>
          <w:spacing w:val="-4"/>
          <w:sz w:val="20"/>
        </w:rPr>
        <w:t xml:space="preserve"> </w:t>
      </w:r>
      <w:r>
        <w:rPr>
          <w:b/>
          <w:sz w:val="20"/>
        </w:rPr>
        <w:t>2</w:t>
      </w:r>
      <w:r>
        <w:rPr>
          <w:b/>
          <w:spacing w:val="-4"/>
          <w:sz w:val="20"/>
        </w:rPr>
        <w:t xml:space="preserve"> </w:t>
      </w:r>
      <w:r>
        <w:rPr>
          <w:b/>
          <w:sz w:val="20"/>
        </w:rPr>
        <w:t>Descriptive</w:t>
      </w:r>
      <w:r>
        <w:rPr>
          <w:b/>
          <w:spacing w:val="-4"/>
          <w:sz w:val="20"/>
        </w:rPr>
        <w:t xml:space="preserve"> </w:t>
      </w:r>
      <w:r>
        <w:rPr>
          <w:b/>
          <w:sz w:val="20"/>
        </w:rPr>
        <w:t>Results</w:t>
      </w:r>
      <w:r w:rsidR="00D3203D">
        <w:rPr>
          <w:b/>
          <w:sz w:val="20"/>
        </w:rPr>
        <w:t xml:space="preserve"> Corporate Reputation</w:t>
      </w:r>
    </w:p>
    <w:p w14:paraId="42C72955" w14:textId="77777777" w:rsidR="004F01DD" w:rsidRDefault="004F01DD" w:rsidP="004F01DD">
      <w:pPr>
        <w:pStyle w:val="BodyText"/>
        <w:spacing w:before="6"/>
        <w:rPr>
          <w:b/>
          <w:sz w:val="25"/>
        </w:rPr>
      </w:pPr>
    </w:p>
    <w:tbl>
      <w:tblPr>
        <w:tblW w:w="0" w:type="auto"/>
        <w:jc w:val="center"/>
        <w:tblLayout w:type="fixed"/>
        <w:tblCellMar>
          <w:left w:w="0" w:type="dxa"/>
          <w:right w:w="0" w:type="dxa"/>
        </w:tblCellMar>
        <w:tblLook w:val="01E0" w:firstRow="1" w:lastRow="1" w:firstColumn="1" w:lastColumn="1" w:noHBand="0" w:noVBand="0"/>
      </w:tblPr>
      <w:tblGrid>
        <w:gridCol w:w="3227"/>
        <w:gridCol w:w="1776"/>
        <w:gridCol w:w="1072"/>
        <w:gridCol w:w="1422"/>
        <w:gridCol w:w="1489"/>
      </w:tblGrid>
      <w:tr w:rsidR="00D3203D" w14:paraId="105A47A1" w14:textId="77777777" w:rsidTr="005C3D4E">
        <w:trPr>
          <w:trHeight w:val="254"/>
          <w:jc w:val="center"/>
        </w:trPr>
        <w:tc>
          <w:tcPr>
            <w:tcW w:w="3227" w:type="dxa"/>
            <w:tcBorders>
              <w:top w:val="single" w:sz="4" w:space="0" w:color="000000"/>
              <w:bottom w:val="single" w:sz="4" w:space="0" w:color="000000"/>
            </w:tcBorders>
            <w:shd w:val="clear" w:color="auto" w:fill="E7E6E6"/>
          </w:tcPr>
          <w:p w14:paraId="6D89799E" w14:textId="77777777" w:rsidR="00D3203D" w:rsidRDefault="00D3203D" w:rsidP="00A55496">
            <w:pPr>
              <w:pStyle w:val="TableParagraph"/>
              <w:spacing w:line="235" w:lineRule="exact"/>
              <w:ind w:left="1558"/>
              <w:rPr>
                <w:sz w:val="20"/>
              </w:rPr>
            </w:pPr>
            <w:r>
              <w:rPr>
                <w:sz w:val="20"/>
              </w:rPr>
              <w:t>Variables</w:t>
            </w:r>
          </w:p>
        </w:tc>
        <w:tc>
          <w:tcPr>
            <w:tcW w:w="1776" w:type="dxa"/>
            <w:tcBorders>
              <w:top w:val="single" w:sz="4" w:space="0" w:color="000000"/>
              <w:bottom w:val="single" w:sz="4" w:space="0" w:color="000000"/>
            </w:tcBorders>
            <w:shd w:val="clear" w:color="auto" w:fill="E7E6E6"/>
          </w:tcPr>
          <w:p w14:paraId="4E0B9723" w14:textId="77777777" w:rsidR="00D3203D" w:rsidRDefault="00D3203D" w:rsidP="00A55496">
            <w:pPr>
              <w:pStyle w:val="TableParagraph"/>
              <w:spacing w:line="235" w:lineRule="exact"/>
              <w:ind w:left="1050"/>
              <w:rPr>
                <w:sz w:val="20"/>
              </w:rPr>
            </w:pPr>
            <w:r>
              <w:rPr>
                <w:sz w:val="20"/>
              </w:rPr>
              <w:t>S.D.</w:t>
            </w:r>
          </w:p>
        </w:tc>
        <w:tc>
          <w:tcPr>
            <w:tcW w:w="1072" w:type="dxa"/>
            <w:tcBorders>
              <w:top w:val="single" w:sz="4" w:space="0" w:color="000000"/>
              <w:bottom w:val="single" w:sz="4" w:space="0" w:color="000000"/>
            </w:tcBorders>
            <w:shd w:val="clear" w:color="auto" w:fill="E7E6E6"/>
          </w:tcPr>
          <w:p w14:paraId="2DB1F38E" w14:textId="77777777" w:rsidR="00D3203D" w:rsidRDefault="00D3203D" w:rsidP="00A55496">
            <w:pPr>
              <w:pStyle w:val="TableParagraph"/>
              <w:spacing w:line="235" w:lineRule="exact"/>
              <w:ind w:right="293"/>
              <w:jc w:val="right"/>
              <w:rPr>
                <w:sz w:val="20"/>
              </w:rPr>
            </w:pPr>
            <w:r>
              <w:rPr>
                <w:sz w:val="20"/>
              </w:rPr>
              <w:t>Mean</w:t>
            </w:r>
          </w:p>
        </w:tc>
        <w:tc>
          <w:tcPr>
            <w:tcW w:w="1422" w:type="dxa"/>
            <w:tcBorders>
              <w:top w:val="single" w:sz="4" w:space="0" w:color="000000"/>
              <w:bottom w:val="single" w:sz="4" w:space="0" w:color="000000"/>
            </w:tcBorders>
            <w:shd w:val="clear" w:color="auto" w:fill="E7E6E6"/>
          </w:tcPr>
          <w:p w14:paraId="144E9D5E" w14:textId="77777777" w:rsidR="00D3203D" w:rsidRDefault="00D3203D" w:rsidP="00A55496">
            <w:pPr>
              <w:pStyle w:val="TableParagraph"/>
              <w:spacing w:line="235" w:lineRule="exact"/>
              <w:ind w:left="277" w:right="303"/>
              <w:jc w:val="center"/>
              <w:rPr>
                <w:sz w:val="20"/>
              </w:rPr>
            </w:pPr>
            <w:r>
              <w:rPr>
                <w:sz w:val="20"/>
              </w:rPr>
              <w:t>Minimum</w:t>
            </w:r>
          </w:p>
        </w:tc>
        <w:tc>
          <w:tcPr>
            <w:tcW w:w="1489" w:type="dxa"/>
            <w:tcBorders>
              <w:top w:val="single" w:sz="4" w:space="0" w:color="000000"/>
              <w:bottom w:val="single" w:sz="4" w:space="0" w:color="000000"/>
            </w:tcBorders>
            <w:shd w:val="clear" w:color="auto" w:fill="E7E6E6"/>
          </w:tcPr>
          <w:p w14:paraId="26F7ED60" w14:textId="77777777" w:rsidR="00D3203D" w:rsidRDefault="00D3203D" w:rsidP="00A55496">
            <w:pPr>
              <w:pStyle w:val="TableParagraph"/>
              <w:spacing w:line="235" w:lineRule="exact"/>
              <w:ind w:left="301" w:right="300"/>
              <w:jc w:val="center"/>
              <w:rPr>
                <w:sz w:val="20"/>
              </w:rPr>
            </w:pPr>
            <w:r>
              <w:rPr>
                <w:sz w:val="20"/>
              </w:rPr>
              <w:t>Maximum</w:t>
            </w:r>
          </w:p>
        </w:tc>
      </w:tr>
      <w:tr w:rsidR="00D3203D" w14:paraId="236A883F" w14:textId="77777777" w:rsidTr="005C3D4E">
        <w:trPr>
          <w:trHeight w:val="271"/>
          <w:jc w:val="center"/>
        </w:trPr>
        <w:tc>
          <w:tcPr>
            <w:tcW w:w="3227" w:type="dxa"/>
            <w:tcBorders>
              <w:top w:val="single" w:sz="4" w:space="0" w:color="000000"/>
            </w:tcBorders>
            <w:shd w:val="clear" w:color="auto" w:fill="E7E6E6"/>
          </w:tcPr>
          <w:p w14:paraId="727AB776" w14:textId="2EF10C2D" w:rsidR="00D3203D" w:rsidRDefault="00D3203D" w:rsidP="00A55496">
            <w:pPr>
              <w:pStyle w:val="TableParagraph"/>
              <w:spacing w:line="243" w:lineRule="exact"/>
              <w:ind w:left="122"/>
              <w:rPr>
                <w:sz w:val="20"/>
              </w:rPr>
            </w:pPr>
            <w:r>
              <w:rPr>
                <w:sz w:val="20"/>
              </w:rPr>
              <w:t>Corporate Reputation</w:t>
            </w:r>
          </w:p>
        </w:tc>
        <w:tc>
          <w:tcPr>
            <w:tcW w:w="1776" w:type="dxa"/>
            <w:tcBorders>
              <w:top w:val="single" w:sz="4" w:space="0" w:color="000000"/>
            </w:tcBorders>
            <w:shd w:val="clear" w:color="auto" w:fill="E7E6E6"/>
          </w:tcPr>
          <w:p w14:paraId="68DD311C" w14:textId="6870B63E" w:rsidR="00D3203D" w:rsidRDefault="00D3203D" w:rsidP="00A55496">
            <w:pPr>
              <w:pStyle w:val="TableParagraph"/>
              <w:spacing w:line="243" w:lineRule="exact"/>
              <w:ind w:right="368"/>
              <w:jc w:val="right"/>
              <w:rPr>
                <w:sz w:val="20"/>
              </w:rPr>
            </w:pPr>
            <w:r>
              <w:rPr>
                <w:sz w:val="20"/>
              </w:rPr>
              <w:t>0.50</w:t>
            </w:r>
          </w:p>
        </w:tc>
        <w:tc>
          <w:tcPr>
            <w:tcW w:w="1072" w:type="dxa"/>
            <w:tcBorders>
              <w:top w:val="single" w:sz="4" w:space="0" w:color="000000"/>
            </w:tcBorders>
            <w:shd w:val="clear" w:color="auto" w:fill="E7E6E6"/>
          </w:tcPr>
          <w:p w14:paraId="08B1FA22" w14:textId="17D59456" w:rsidR="00D3203D" w:rsidRDefault="00D3203D" w:rsidP="00A55496">
            <w:pPr>
              <w:pStyle w:val="TableParagraph"/>
              <w:spacing w:line="243" w:lineRule="exact"/>
              <w:ind w:right="291"/>
              <w:jc w:val="right"/>
              <w:rPr>
                <w:sz w:val="20"/>
              </w:rPr>
            </w:pPr>
            <w:r>
              <w:rPr>
                <w:sz w:val="20"/>
              </w:rPr>
              <w:t>1.05</w:t>
            </w:r>
          </w:p>
        </w:tc>
        <w:tc>
          <w:tcPr>
            <w:tcW w:w="1422" w:type="dxa"/>
            <w:tcBorders>
              <w:top w:val="single" w:sz="4" w:space="0" w:color="000000"/>
            </w:tcBorders>
            <w:shd w:val="clear" w:color="auto" w:fill="E7E6E6"/>
          </w:tcPr>
          <w:p w14:paraId="547EFAE7" w14:textId="50852330" w:rsidR="00D3203D" w:rsidRDefault="00D3203D" w:rsidP="00A55496">
            <w:pPr>
              <w:pStyle w:val="TableParagraph"/>
              <w:spacing w:line="243" w:lineRule="exact"/>
              <w:ind w:left="277" w:right="301"/>
              <w:jc w:val="center"/>
              <w:rPr>
                <w:sz w:val="20"/>
              </w:rPr>
            </w:pPr>
            <w:r>
              <w:rPr>
                <w:sz w:val="20"/>
              </w:rPr>
              <w:t>0.29</w:t>
            </w:r>
          </w:p>
        </w:tc>
        <w:tc>
          <w:tcPr>
            <w:tcW w:w="1489" w:type="dxa"/>
            <w:tcBorders>
              <w:top w:val="single" w:sz="4" w:space="0" w:color="000000"/>
            </w:tcBorders>
            <w:shd w:val="clear" w:color="auto" w:fill="E7E6E6"/>
          </w:tcPr>
          <w:p w14:paraId="266C4A49" w14:textId="60F1A44A" w:rsidR="00D3203D" w:rsidRDefault="00D3203D" w:rsidP="00A55496">
            <w:pPr>
              <w:pStyle w:val="TableParagraph"/>
              <w:spacing w:line="243" w:lineRule="exact"/>
              <w:ind w:left="301" w:right="295"/>
              <w:jc w:val="center"/>
              <w:rPr>
                <w:sz w:val="20"/>
              </w:rPr>
            </w:pPr>
            <w:r>
              <w:rPr>
                <w:sz w:val="20"/>
              </w:rPr>
              <w:t>1.92</w:t>
            </w:r>
          </w:p>
        </w:tc>
      </w:tr>
    </w:tbl>
    <w:p w14:paraId="411CE84D" w14:textId="54AF72C0" w:rsidR="005D552D" w:rsidRDefault="005D552D">
      <w:pPr>
        <w:rPr>
          <w:b/>
          <w:sz w:val="20"/>
        </w:rPr>
      </w:pPr>
    </w:p>
    <w:p w14:paraId="713D0733" w14:textId="1489DBB4" w:rsidR="007B5DBB" w:rsidRDefault="007B5DBB" w:rsidP="007B5DBB">
      <w:pPr>
        <w:pStyle w:val="BodyText"/>
        <w:spacing w:line="276" w:lineRule="auto"/>
        <w:ind w:left="277" w:right="132" w:firstLine="566"/>
        <w:jc w:val="both"/>
      </w:pPr>
      <w:r>
        <w:t xml:space="preserve">Hasil </w:t>
      </w:r>
      <w:proofErr w:type="spellStart"/>
      <w:r>
        <w:t>dari</w:t>
      </w:r>
      <w:proofErr w:type="spellEnd"/>
      <w:r>
        <w:t xml:space="preserve"> </w:t>
      </w:r>
      <w:proofErr w:type="spellStart"/>
      <w:r>
        <w:t>analisis</w:t>
      </w:r>
      <w:proofErr w:type="spellEnd"/>
      <w:r>
        <w:t xml:space="preserve"> </w:t>
      </w:r>
      <w:proofErr w:type="spellStart"/>
      <w:r>
        <w:t>deskriptif</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variabel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reputasi</w:t>
      </w:r>
      <w:proofErr w:type="spellEnd"/>
      <w:r>
        <w:t xml:space="preserve"> </w:t>
      </w:r>
      <w:proofErr w:type="spellStart"/>
      <w:r>
        <w:t>perusahaan</w:t>
      </w:r>
      <w:proofErr w:type="spellEnd"/>
      <w:r>
        <w:t xml:space="preserve"> pada </w:t>
      </w:r>
      <w:proofErr w:type="spellStart"/>
      <w:r>
        <w:t>sektor</w:t>
      </w:r>
      <w:proofErr w:type="spellEnd"/>
      <w:r>
        <w:t xml:space="preserve"> </w:t>
      </w:r>
      <w:proofErr w:type="spellStart"/>
      <w:r>
        <w:t>perbankan</w:t>
      </w:r>
      <w:proofErr w:type="spellEnd"/>
      <w:r>
        <w:t xml:space="preserve"> di </w:t>
      </w:r>
      <w:proofErr w:type="spellStart"/>
      <w:r>
        <w:t>tahun</w:t>
      </w:r>
      <w:proofErr w:type="spellEnd"/>
      <w:r>
        <w:t xml:space="preserve"> 2017-2019 </w:t>
      </w:r>
      <w:proofErr w:type="spellStart"/>
      <w:r>
        <w:t>dalam</w:t>
      </w:r>
      <w:proofErr w:type="spellEnd"/>
      <w:r>
        <w:t xml:space="preserve"> </w:t>
      </w:r>
      <w:proofErr w:type="spellStart"/>
      <w:r>
        <w:t>penelitian</w:t>
      </w:r>
      <w:proofErr w:type="spellEnd"/>
      <w:r>
        <w:t xml:space="preserve"> </w:t>
      </w:r>
      <w:r w:rsidR="00E677A6">
        <w:t xml:space="preserve">paling </w:t>
      </w:r>
      <w:proofErr w:type="spellStart"/>
      <w:r w:rsidR="00E677A6">
        <w:t>rendah</w:t>
      </w:r>
      <w:proofErr w:type="spellEnd"/>
      <w:r w:rsidR="00E677A6">
        <w:t xml:space="preserve"> </w:t>
      </w:r>
      <w:proofErr w:type="spellStart"/>
      <w:r w:rsidR="00E677A6">
        <w:t>sebsear</w:t>
      </w:r>
      <w:proofErr w:type="spellEnd"/>
      <w:r w:rsidR="00E677A6">
        <w:t xml:space="preserve"> 0.29 </w:t>
      </w:r>
      <w:proofErr w:type="spellStart"/>
      <w:r w:rsidR="00E677A6">
        <w:t>poin</w:t>
      </w:r>
      <w:proofErr w:type="spellEnd"/>
      <w:r w:rsidR="00E677A6">
        <w:t xml:space="preserve"> dan paling </w:t>
      </w:r>
      <w:proofErr w:type="spellStart"/>
      <w:r w:rsidR="00E677A6">
        <w:t>tinggi</w:t>
      </w:r>
      <w:proofErr w:type="spellEnd"/>
      <w:r w:rsidR="00E677A6">
        <w:t xml:space="preserve"> </w:t>
      </w:r>
      <w:proofErr w:type="spellStart"/>
      <w:r w:rsidR="00E677A6">
        <w:t>sebesar</w:t>
      </w:r>
      <w:proofErr w:type="spellEnd"/>
      <w:r w:rsidR="00E677A6">
        <w:t xml:space="preserve"> 1.92 </w:t>
      </w:r>
      <w:proofErr w:type="spellStart"/>
      <w:r w:rsidR="00E677A6">
        <w:t>poin</w:t>
      </w:r>
      <w:proofErr w:type="spellEnd"/>
      <w:r w:rsidR="00E677A6">
        <w:t xml:space="preserve">. Rata-rata </w:t>
      </w:r>
      <w:proofErr w:type="spellStart"/>
      <w:r w:rsidR="00E677A6">
        <w:t>reputasi</w:t>
      </w:r>
      <w:proofErr w:type="spellEnd"/>
      <w:r w:rsidR="00E677A6">
        <w:t xml:space="preserve"> </w:t>
      </w:r>
      <w:proofErr w:type="spellStart"/>
      <w:r w:rsidR="00E677A6">
        <w:t>perusahaan</w:t>
      </w:r>
      <w:proofErr w:type="spellEnd"/>
      <w:r w:rsidR="00E677A6">
        <w:t xml:space="preserve"> pada </w:t>
      </w:r>
      <w:proofErr w:type="spellStart"/>
      <w:r w:rsidR="00E677A6">
        <w:t>sektor</w:t>
      </w:r>
      <w:proofErr w:type="spellEnd"/>
      <w:r w:rsidR="00E677A6">
        <w:t xml:space="preserve"> </w:t>
      </w:r>
      <w:proofErr w:type="spellStart"/>
      <w:r w:rsidR="00E677A6">
        <w:t>perbankan</w:t>
      </w:r>
      <w:proofErr w:type="spellEnd"/>
      <w:r w:rsidR="00E677A6">
        <w:t xml:space="preserve"> </w:t>
      </w:r>
      <w:proofErr w:type="spellStart"/>
      <w:r w:rsidR="00E677A6">
        <w:t>dalam</w:t>
      </w:r>
      <w:proofErr w:type="spellEnd"/>
      <w:r w:rsidR="00E677A6">
        <w:t xml:space="preserve"> </w:t>
      </w:r>
      <w:proofErr w:type="spellStart"/>
      <w:r w:rsidR="00E677A6">
        <w:t>penelitian</w:t>
      </w:r>
      <w:proofErr w:type="spellEnd"/>
      <w:r w:rsidR="00E677A6">
        <w:t xml:space="preserve"> </w:t>
      </w:r>
      <w:proofErr w:type="spellStart"/>
      <w:r w:rsidR="00E677A6">
        <w:t>ini</w:t>
      </w:r>
      <w:proofErr w:type="spellEnd"/>
      <w:r w:rsidR="00E677A6">
        <w:t xml:space="preserve"> </w:t>
      </w:r>
      <w:proofErr w:type="spellStart"/>
      <w:r w:rsidR="00E677A6">
        <w:t>adalah</w:t>
      </w:r>
      <w:proofErr w:type="spellEnd"/>
      <w:r w:rsidR="00E677A6">
        <w:t xml:space="preserve"> </w:t>
      </w:r>
      <w:proofErr w:type="spellStart"/>
      <w:r w:rsidR="00E677A6">
        <w:t>sebesar</w:t>
      </w:r>
      <w:proofErr w:type="spellEnd"/>
      <w:r w:rsidR="00E677A6">
        <w:t xml:space="preserve"> 1.05 </w:t>
      </w:r>
      <w:proofErr w:type="spellStart"/>
      <w:r w:rsidR="00E677A6">
        <w:t>poin</w:t>
      </w:r>
      <w:proofErr w:type="spellEnd"/>
      <w:r w:rsidR="00E677A6">
        <w:t xml:space="preserve"> </w:t>
      </w:r>
      <w:proofErr w:type="spellStart"/>
      <w:r w:rsidR="00E677A6">
        <w:t>dengan</w:t>
      </w:r>
      <w:proofErr w:type="spellEnd"/>
      <w:r w:rsidR="00E677A6">
        <w:t xml:space="preserve"> </w:t>
      </w:r>
      <w:proofErr w:type="spellStart"/>
      <w:r w:rsidR="00E677A6">
        <w:t>standar</w:t>
      </w:r>
      <w:proofErr w:type="spellEnd"/>
      <w:r w:rsidR="00E677A6">
        <w:t xml:space="preserve"> </w:t>
      </w:r>
      <w:proofErr w:type="spellStart"/>
      <w:r w:rsidR="00E677A6">
        <w:t>deviasi</w:t>
      </w:r>
      <w:proofErr w:type="spellEnd"/>
      <w:r w:rsidR="00E677A6">
        <w:t xml:space="preserve"> </w:t>
      </w:r>
      <w:proofErr w:type="spellStart"/>
      <w:r w:rsidR="00E677A6">
        <w:t>sebesar</w:t>
      </w:r>
      <w:proofErr w:type="spellEnd"/>
      <w:r w:rsidR="00E677A6">
        <w:t xml:space="preserve"> 0.50 </w:t>
      </w:r>
      <w:proofErr w:type="spellStart"/>
      <w:r w:rsidR="00E677A6">
        <w:t>poin</w:t>
      </w:r>
      <w:proofErr w:type="spellEnd"/>
      <w:r w:rsidR="00E677A6">
        <w:t xml:space="preserve">. Hal </w:t>
      </w:r>
      <w:proofErr w:type="spellStart"/>
      <w:r w:rsidR="00E677A6">
        <w:t>ini</w:t>
      </w:r>
      <w:proofErr w:type="spellEnd"/>
      <w:r w:rsidR="00E677A6">
        <w:t xml:space="preserve"> </w:t>
      </w:r>
      <w:proofErr w:type="spellStart"/>
      <w:r w:rsidR="00E677A6">
        <w:t>berarti</w:t>
      </w:r>
      <w:proofErr w:type="spellEnd"/>
      <w:r w:rsidR="00E677A6">
        <w:t xml:space="preserve"> </w:t>
      </w:r>
      <w:proofErr w:type="spellStart"/>
      <w:r w:rsidR="00E677A6">
        <w:t>reputasi</w:t>
      </w:r>
      <w:proofErr w:type="spellEnd"/>
      <w:r w:rsidR="00E677A6">
        <w:t xml:space="preserve"> </w:t>
      </w:r>
      <w:proofErr w:type="spellStart"/>
      <w:r w:rsidR="00E677A6">
        <w:t>perusahaan</w:t>
      </w:r>
      <w:proofErr w:type="spellEnd"/>
      <w:r w:rsidR="00E677A6">
        <w:t xml:space="preserve"> pada </w:t>
      </w:r>
      <w:proofErr w:type="spellStart"/>
      <w:r w:rsidR="00E677A6">
        <w:t>sektor</w:t>
      </w:r>
      <w:proofErr w:type="spellEnd"/>
      <w:r w:rsidR="00E677A6">
        <w:t xml:space="preserve"> </w:t>
      </w:r>
      <w:proofErr w:type="spellStart"/>
      <w:r w:rsidR="00E677A6">
        <w:t>perbankan</w:t>
      </w:r>
      <w:proofErr w:type="spellEnd"/>
      <w:r w:rsidR="00E677A6">
        <w:t xml:space="preserve"> pada </w:t>
      </w:r>
      <w:proofErr w:type="spellStart"/>
      <w:r w:rsidR="00E677A6">
        <w:t>penelitian</w:t>
      </w:r>
      <w:proofErr w:type="spellEnd"/>
      <w:r w:rsidR="00E677A6">
        <w:t xml:space="preserve"> </w:t>
      </w:r>
      <w:proofErr w:type="spellStart"/>
      <w:r w:rsidR="00E677A6">
        <w:t>ini</w:t>
      </w:r>
      <w:proofErr w:type="spellEnd"/>
      <w:r w:rsidR="00E677A6">
        <w:t xml:space="preserve"> </w:t>
      </w:r>
      <w:proofErr w:type="spellStart"/>
      <w:r w:rsidR="00E677A6">
        <w:t>memusat</w:t>
      </w:r>
      <w:proofErr w:type="spellEnd"/>
      <w:r w:rsidR="00E677A6">
        <w:t xml:space="preserve"> </w:t>
      </w:r>
      <w:proofErr w:type="spellStart"/>
      <w:r w:rsidR="00E677A6">
        <w:t>diangka</w:t>
      </w:r>
      <w:proofErr w:type="spellEnd"/>
      <w:r w:rsidR="00E677A6">
        <w:t xml:space="preserve"> 1.05 ± 0.50 </w:t>
      </w:r>
      <w:proofErr w:type="spellStart"/>
      <w:r w:rsidR="00E677A6">
        <w:t>poin</w:t>
      </w:r>
      <w:proofErr w:type="spellEnd"/>
      <w:r w:rsidR="00E677A6">
        <w:t>.</w:t>
      </w:r>
    </w:p>
    <w:p w14:paraId="07BE4CF4" w14:textId="2A9AE7D6" w:rsidR="00E677A6" w:rsidRDefault="00E677A6" w:rsidP="007B5DBB">
      <w:pPr>
        <w:pStyle w:val="BodyText"/>
        <w:spacing w:line="276" w:lineRule="auto"/>
        <w:ind w:left="277" w:right="132" w:firstLine="566"/>
        <w:jc w:val="both"/>
      </w:pPr>
    </w:p>
    <w:p w14:paraId="13BCC341" w14:textId="1547B8F5" w:rsidR="00E677A6" w:rsidRDefault="009664A8" w:rsidP="007B5DBB">
      <w:pPr>
        <w:pStyle w:val="BodyText"/>
        <w:spacing w:line="276" w:lineRule="auto"/>
        <w:ind w:left="277" w:right="132" w:firstLine="566"/>
        <w:jc w:val="both"/>
      </w:pPr>
      <w:proofErr w:type="spellStart"/>
      <w:r>
        <w:t>Analisis</w:t>
      </w:r>
      <w:proofErr w:type="spellEnd"/>
      <w:r>
        <w:t xml:space="preserve"> </w:t>
      </w:r>
      <w:proofErr w:type="spellStart"/>
      <w:r>
        <w:t>deskriptif</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dialkukan</w:t>
      </w:r>
      <w:proofErr w:type="spellEnd"/>
      <w:r>
        <w:t xml:space="preserve"> </w:t>
      </w:r>
      <w:proofErr w:type="spellStart"/>
      <w:r>
        <w:t>menggunakan</w:t>
      </w:r>
      <w:proofErr w:type="spellEnd"/>
      <w:r>
        <w:t xml:space="preserve"> </w:t>
      </w:r>
      <w:proofErr w:type="spellStart"/>
      <w:r>
        <w:t>distribusi</w:t>
      </w:r>
      <w:proofErr w:type="spellEnd"/>
      <w:r>
        <w:t xml:space="preserve"> </w:t>
      </w:r>
      <w:proofErr w:type="spellStart"/>
      <w:r>
        <w:t>frekuensi</w:t>
      </w:r>
      <w:proofErr w:type="spellEnd"/>
      <w:r>
        <w:t xml:space="preserve">. Hasil </w:t>
      </w:r>
      <w:proofErr w:type="spellStart"/>
      <w:r>
        <w:t>distribusi</w:t>
      </w:r>
      <w:proofErr w:type="spellEnd"/>
      <w:r>
        <w:t xml:space="preserve"> </w:t>
      </w:r>
      <w:proofErr w:type="spellStart"/>
      <w:r>
        <w:t>frekuensi</w:t>
      </w:r>
      <w:proofErr w:type="spellEnd"/>
      <w:r>
        <w:t xml:space="preserve"> pada </w:t>
      </w:r>
      <w:proofErr w:type="spellStart"/>
      <w:r>
        <w:t>setiap</w:t>
      </w:r>
      <w:proofErr w:type="spellEnd"/>
      <w:r>
        <w:t xml:space="preserve"> </w:t>
      </w:r>
      <w:proofErr w:type="spellStart"/>
      <w:r>
        <w:t>indikator</w:t>
      </w:r>
      <w:proofErr w:type="spellEnd"/>
      <w:r>
        <w:t xml:space="preserve"> </w:t>
      </w:r>
      <w:proofErr w:type="spellStart"/>
      <w:r>
        <w:t>dari</w:t>
      </w:r>
      <w:proofErr w:type="spellEnd"/>
      <w:r>
        <w:t xml:space="preserve"> </w:t>
      </w:r>
      <w:proofErr w:type="spellStart"/>
      <w:r>
        <w:t>keempat</w:t>
      </w:r>
      <w:proofErr w:type="spellEnd"/>
      <w:r>
        <w:t xml:space="preserve"> </w:t>
      </w:r>
      <w:proofErr w:type="spellStart"/>
      <w:r>
        <w:t>dimensi</w:t>
      </w:r>
      <w:proofErr w:type="spellEnd"/>
      <w:r>
        <w:t xml:space="preserve"> </w:t>
      </w:r>
      <w:proofErr w:type="spellStart"/>
      <w:r>
        <w:t>kualitas</w:t>
      </w:r>
      <w:proofErr w:type="spellEnd"/>
      <w:r>
        <w:t xml:space="preserve"> CSRD </w:t>
      </w:r>
      <w:proofErr w:type="spellStart"/>
      <w:r>
        <w:t>dapat</w:t>
      </w:r>
      <w:proofErr w:type="spellEnd"/>
      <w:r>
        <w:t xml:space="preserve"> </w:t>
      </w:r>
      <w:proofErr w:type="spellStart"/>
      <w:r>
        <w:t>dilihat</w:t>
      </w:r>
      <w:proofErr w:type="spellEnd"/>
      <w:r>
        <w:t xml:space="preserve"> </w:t>
      </w:r>
      <w:proofErr w:type="spellStart"/>
      <w:r>
        <w:t>melalui</w:t>
      </w:r>
      <w:proofErr w:type="spellEnd"/>
      <w:r>
        <w:t xml:space="preserve"> </w:t>
      </w:r>
      <w:proofErr w:type="spellStart"/>
      <w:r>
        <w:t>tabel</w:t>
      </w:r>
      <w:proofErr w:type="spellEnd"/>
      <w:r>
        <w:t xml:space="preserve"> </w:t>
      </w:r>
      <w:proofErr w:type="spellStart"/>
      <w:r>
        <w:t>berikut</w:t>
      </w:r>
      <w:proofErr w:type="spellEnd"/>
      <w:r>
        <w:t>:</w:t>
      </w:r>
    </w:p>
    <w:p w14:paraId="71C6C33E" w14:textId="77777777" w:rsidR="007B5DBB" w:rsidRPr="007B5DBB" w:rsidRDefault="007B5DBB" w:rsidP="007B5DBB">
      <w:pPr>
        <w:ind w:right="2093"/>
        <w:rPr>
          <w:bCs/>
          <w:sz w:val="20"/>
        </w:rPr>
      </w:pPr>
    </w:p>
    <w:p w14:paraId="3A46627A" w14:textId="33AF93D3" w:rsidR="00024F6A" w:rsidRPr="00D3203D" w:rsidRDefault="00024F6A" w:rsidP="00024F6A">
      <w:pPr>
        <w:ind w:left="2229" w:right="2093"/>
        <w:jc w:val="center"/>
        <w:rPr>
          <w:b/>
          <w:i/>
          <w:iCs/>
          <w:sz w:val="20"/>
        </w:rPr>
      </w:pPr>
      <w:r>
        <w:rPr>
          <w:b/>
          <w:sz w:val="20"/>
        </w:rPr>
        <w:t>Table</w:t>
      </w:r>
      <w:r>
        <w:rPr>
          <w:b/>
          <w:spacing w:val="-4"/>
          <w:sz w:val="20"/>
        </w:rPr>
        <w:t xml:space="preserve"> </w:t>
      </w:r>
      <w:r>
        <w:rPr>
          <w:b/>
          <w:sz w:val="20"/>
        </w:rPr>
        <w:t>3 Descriptive</w:t>
      </w:r>
      <w:r>
        <w:rPr>
          <w:b/>
          <w:spacing w:val="-4"/>
          <w:sz w:val="20"/>
        </w:rPr>
        <w:t xml:space="preserve"> </w:t>
      </w:r>
      <w:r>
        <w:rPr>
          <w:b/>
          <w:sz w:val="20"/>
        </w:rPr>
        <w:t xml:space="preserve">Results </w:t>
      </w:r>
      <w:r w:rsidR="00281E75">
        <w:rPr>
          <w:b/>
          <w:sz w:val="20"/>
        </w:rPr>
        <w:t>Quality CSRD</w:t>
      </w:r>
    </w:p>
    <w:p w14:paraId="393CB318" w14:textId="332D2862" w:rsidR="00024F6A" w:rsidRDefault="00585EA3" w:rsidP="00024F6A">
      <w:pPr>
        <w:pStyle w:val="BodyText"/>
        <w:spacing w:before="6"/>
        <w:rPr>
          <w:b/>
          <w:sz w:val="25"/>
        </w:rPr>
      </w:pPr>
      <w:r>
        <w:rPr>
          <w:b/>
          <w:sz w:val="25"/>
        </w:rPr>
        <w:t xml:space="preserve"> </w:t>
      </w:r>
    </w:p>
    <w:tbl>
      <w:tblPr>
        <w:tblW w:w="8678" w:type="dxa"/>
        <w:jc w:val="center"/>
        <w:tblLayout w:type="fixed"/>
        <w:tblCellMar>
          <w:left w:w="0" w:type="dxa"/>
          <w:right w:w="0" w:type="dxa"/>
        </w:tblCellMar>
        <w:tblLook w:val="01E0" w:firstRow="1" w:lastRow="1" w:firstColumn="1" w:lastColumn="1" w:noHBand="0" w:noVBand="0"/>
      </w:tblPr>
      <w:tblGrid>
        <w:gridCol w:w="1717"/>
        <w:gridCol w:w="2169"/>
        <w:gridCol w:w="838"/>
        <w:gridCol w:w="1015"/>
        <w:gridCol w:w="619"/>
        <w:gridCol w:w="617"/>
        <w:gridCol w:w="619"/>
        <w:gridCol w:w="517"/>
        <w:gridCol w:w="567"/>
      </w:tblGrid>
      <w:tr w:rsidR="003D1417" w14:paraId="5C20E58F" w14:textId="44A98965" w:rsidTr="00724980">
        <w:trPr>
          <w:cantSplit/>
          <w:trHeight w:val="278"/>
          <w:jc w:val="center"/>
        </w:trPr>
        <w:tc>
          <w:tcPr>
            <w:tcW w:w="1717" w:type="dxa"/>
            <w:vMerge w:val="restart"/>
            <w:tcBorders>
              <w:top w:val="single" w:sz="4" w:space="0" w:color="000000"/>
            </w:tcBorders>
            <w:shd w:val="clear" w:color="auto" w:fill="E7E6E6"/>
            <w:vAlign w:val="center"/>
          </w:tcPr>
          <w:p w14:paraId="68AF7236" w14:textId="77777777" w:rsidR="003D1417" w:rsidRDefault="003D1417" w:rsidP="009F2A97">
            <w:pPr>
              <w:pStyle w:val="TableParagraph"/>
              <w:spacing w:line="235" w:lineRule="exact"/>
              <w:jc w:val="center"/>
              <w:rPr>
                <w:sz w:val="20"/>
              </w:rPr>
            </w:pPr>
            <w:r>
              <w:rPr>
                <w:sz w:val="20"/>
              </w:rPr>
              <w:t>Variables</w:t>
            </w:r>
          </w:p>
        </w:tc>
        <w:tc>
          <w:tcPr>
            <w:tcW w:w="2169" w:type="dxa"/>
            <w:vMerge w:val="restart"/>
            <w:tcBorders>
              <w:top w:val="single" w:sz="4" w:space="0" w:color="000000"/>
            </w:tcBorders>
            <w:shd w:val="clear" w:color="auto" w:fill="E7E6E6"/>
            <w:vAlign w:val="center"/>
          </w:tcPr>
          <w:p w14:paraId="2DBD814C" w14:textId="04D339BE" w:rsidR="003D1417" w:rsidRDefault="003D1417" w:rsidP="009F2A97">
            <w:pPr>
              <w:pStyle w:val="TableParagraph"/>
              <w:spacing w:line="235" w:lineRule="exact"/>
              <w:ind w:left="-8"/>
              <w:jc w:val="center"/>
              <w:rPr>
                <w:sz w:val="20"/>
              </w:rPr>
            </w:pPr>
            <w:proofErr w:type="spellStart"/>
            <w:r>
              <w:rPr>
                <w:sz w:val="20"/>
              </w:rPr>
              <w:t>Dimensi</w:t>
            </w:r>
            <w:proofErr w:type="spellEnd"/>
          </w:p>
        </w:tc>
        <w:tc>
          <w:tcPr>
            <w:tcW w:w="838" w:type="dxa"/>
            <w:vMerge w:val="restart"/>
            <w:tcBorders>
              <w:top w:val="single" w:sz="4" w:space="0" w:color="000000"/>
            </w:tcBorders>
            <w:shd w:val="clear" w:color="auto" w:fill="E7E6E6"/>
            <w:vAlign w:val="center"/>
          </w:tcPr>
          <w:p w14:paraId="6808D293" w14:textId="06C48B39" w:rsidR="003D1417" w:rsidRDefault="003D1417" w:rsidP="003D1417">
            <w:pPr>
              <w:pStyle w:val="TableParagraph"/>
              <w:spacing w:line="235" w:lineRule="exact"/>
              <w:ind w:left="-8" w:right="7"/>
              <w:jc w:val="center"/>
              <w:rPr>
                <w:sz w:val="20"/>
              </w:rPr>
            </w:pPr>
            <w:proofErr w:type="spellStart"/>
            <w:r>
              <w:rPr>
                <w:sz w:val="20"/>
              </w:rPr>
              <w:t>Indikator</w:t>
            </w:r>
            <w:proofErr w:type="spellEnd"/>
          </w:p>
        </w:tc>
        <w:tc>
          <w:tcPr>
            <w:tcW w:w="1634" w:type="dxa"/>
            <w:gridSpan w:val="2"/>
            <w:tcBorders>
              <w:top w:val="single" w:sz="4" w:space="0" w:color="000000"/>
              <w:bottom w:val="single" w:sz="4" w:space="0" w:color="000000"/>
            </w:tcBorders>
            <w:shd w:val="clear" w:color="auto" w:fill="E7E6E6"/>
            <w:vAlign w:val="center"/>
          </w:tcPr>
          <w:p w14:paraId="1A389F86" w14:textId="06FE622B" w:rsidR="003D1417" w:rsidRDefault="003D1417" w:rsidP="009F2A97">
            <w:pPr>
              <w:pStyle w:val="TableParagraph"/>
              <w:spacing w:line="235" w:lineRule="exact"/>
              <w:ind w:left="-8" w:right="7"/>
              <w:jc w:val="center"/>
              <w:rPr>
                <w:sz w:val="20"/>
              </w:rPr>
            </w:pPr>
            <w:r>
              <w:rPr>
                <w:sz w:val="20"/>
              </w:rPr>
              <w:t>2017</w:t>
            </w:r>
          </w:p>
        </w:tc>
        <w:tc>
          <w:tcPr>
            <w:tcW w:w="1236" w:type="dxa"/>
            <w:gridSpan w:val="2"/>
            <w:tcBorders>
              <w:top w:val="single" w:sz="4" w:space="0" w:color="000000"/>
              <w:bottom w:val="single" w:sz="4" w:space="0" w:color="000000"/>
            </w:tcBorders>
            <w:shd w:val="clear" w:color="auto" w:fill="E7E6E6"/>
            <w:vAlign w:val="center"/>
          </w:tcPr>
          <w:p w14:paraId="2CCDA740" w14:textId="4F65BA6A" w:rsidR="003D1417" w:rsidRDefault="003D1417" w:rsidP="005D552D">
            <w:pPr>
              <w:pStyle w:val="TableParagraph"/>
              <w:spacing w:line="235" w:lineRule="exact"/>
              <w:ind w:left="47" w:right="303"/>
              <w:jc w:val="center"/>
              <w:rPr>
                <w:sz w:val="20"/>
              </w:rPr>
            </w:pPr>
            <w:r>
              <w:rPr>
                <w:sz w:val="20"/>
              </w:rPr>
              <w:t>2018</w:t>
            </w:r>
          </w:p>
        </w:tc>
        <w:tc>
          <w:tcPr>
            <w:tcW w:w="1084" w:type="dxa"/>
            <w:gridSpan w:val="2"/>
            <w:tcBorders>
              <w:top w:val="single" w:sz="4" w:space="0" w:color="000000"/>
              <w:bottom w:val="single" w:sz="4" w:space="0" w:color="000000"/>
            </w:tcBorders>
            <w:shd w:val="clear" w:color="auto" w:fill="E7E6E6"/>
            <w:vAlign w:val="center"/>
          </w:tcPr>
          <w:p w14:paraId="14F0310B" w14:textId="180FFB69" w:rsidR="003D1417" w:rsidRDefault="003D1417" w:rsidP="009F2A97">
            <w:pPr>
              <w:pStyle w:val="TableParagraph"/>
              <w:spacing w:line="235" w:lineRule="exact"/>
              <w:ind w:left="277" w:right="303"/>
              <w:jc w:val="center"/>
              <w:rPr>
                <w:sz w:val="20"/>
              </w:rPr>
            </w:pPr>
            <w:r>
              <w:rPr>
                <w:sz w:val="20"/>
              </w:rPr>
              <w:t>2019</w:t>
            </w:r>
          </w:p>
        </w:tc>
      </w:tr>
      <w:tr w:rsidR="003D1417" w14:paraId="28791169" w14:textId="67C43242" w:rsidTr="00527FA9">
        <w:trPr>
          <w:trHeight w:val="264"/>
          <w:jc w:val="center"/>
        </w:trPr>
        <w:tc>
          <w:tcPr>
            <w:tcW w:w="1717" w:type="dxa"/>
            <w:vMerge/>
            <w:tcBorders>
              <w:bottom w:val="single" w:sz="4" w:space="0" w:color="auto"/>
            </w:tcBorders>
            <w:shd w:val="clear" w:color="auto" w:fill="E7E6E6"/>
            <w:vAlign w:val="center"/>
          </w:tcPr>
          <w:p w14:paraId="75138812" w14:textId="49695787" w:rsidR="003D1417" w:rsidRDefault="003D1417" w:rsidP="009F2A97">
            <w:pPr>
              <w:pStyle w:val="TableParagraph"/>
              <w:spacing w:line="243" w:lineRule="exact"/>
              <w:ind w:left="122"/>
              <w:jc w:val="center"/>
              <w:rPr>
                <w:sz w:val="20"/>
              </w:rPr>
            </w:pPr>
          </w:p>
        </w:tc>
        <w:tc>
          <w:tcPr>
            <w:tcW w:w="2169" w:type="dxa"/>
            <w:vMerge/>
            <w:tcBorders>
              <w:bottom w:val="single" w:sz="4" w:space="0" w:color="auto"/>
            </w:tcBorders>
            <w:shd w:val="clear" w:color="auto" w:fill="E7E6E6"/>
            <w:vAlign w:val="center"/>
          </w:tcPr>
          <w:p w14:paraId="095814AD" w14:textId="60C732F8" w:rsidR="003D1417" w:rsidRDefault="003D1417" w:rsidP="009F2A97">
            <w:pPr>
              <w:pStyle w:val="TableParagraph"/>
              <w:spacing w:line="243" w:lineRule="exact"/>
              <w:ind w:right="368"/>
              <w:jc w:val="center"/>
              <w:rPr>
                <w:sz w:val="20"/>
              </w:rPr>
            </w:pPr>
          </w:p>
        </w:tc>
        <w:tc>
          <w:tcPr>
            <w:tcW w:w="838" w:type="dxa"/>
            <w:vMerge/>
            <w:tcBorders>
              <w:bottom w:val="single" w:sz="4" w:space="0" w:color="auto"/>
            </w:tcBorders>
            <w:shd w:val="clear" w:color="auto" w:fill="E7E6E6"/>
          </w:tcPr>
          <w:p w14:paraId="09F29814" w14:textId="77777777" w:rsidR="003D1417" w:rsidRDefault="003D1417" w:rsidP="00AE14FF">
            <w:pPr>
              <w:pStyle w:val="TableParagraph"/>
              <w:spacing w:line="243" w:lineRule="exact"/>
              <w:jc w:val="center"/>
              <w:rPr>
                <w:sz w:val="20"/>
              </w:rPr>
            </w:pPr>
          </w:p>
        </w:tc>
        <w:tc>
          <w:tcPr>
            <w:tcW w:w="1015" w:type="dxa"/>
            <w:tcBorders>
              <w:top w:val="single" w:sz="4" w:space="0" w:color="000000"/>
              <w:bottom w:val="single" w:sz="4" w:space="0" w:color="auto"/>
            </w:tcBorders>
            <w:shd w:val="clear" w:color="auto" w:fill="E7E6E6"/>
            <w:vAlign w:val="center"/>
          </w:tcPr>
          <w:p w14:paraId="131DE753" w14:textId="35835221" w:rsidR="003D1417" w:rsidRDefault="003D1417" w:rsidP="00AE14FF">
            <w:pPr>
              <w:pStyle w:val="TableParagraph"/>
              <w:spacing w:line="243" w:lineRule="exact"/>
              <w:jc w:val="center"/>
              <w:rPr>
                <w:sz w:val="20"/>
              </w:rPr>
            </w:pPr>
            <w:r>
              <w:rPr>
                <w:sz w:val="20"/>
              </w:rPr>
              <w:t>F</w:t>
            </w:r>
          </w:p>
        </w:tc>
        <w:tc>
          <w:tcPr>
            <w:tcW w:w="619" w:type="dxa"/>
            <w:tcBorders>
              <w:top w:val="single" w:sz="4" w:space="0" w:color="000000"/>
              <w:bottom w:val="single" w:sz="4" w:space="0" w:color="auto"/>
            </w:tcBorders>
            <w:shd w:val="clear" w:color="auto" w:fill="E7E6E6"/>
            <w:vAlign w:val="center"/>
          </w:tcPr>
          <w:p w14:paraId="7D4010A6" w14:textId="4A213D0A" w:rsidR="003D1417" w:rsidRDefault="003D1417" w:rsidP="00AE14FF">
            <w:pPr>
              <w:pStyle w:val="TableParagraph"/>
              <w:spacing w:line="243" w:lineRule="exact"/>
              <w:jc w:val="center"/>
              <w:rPr>
                <w:sz w:val="20"/>
              </w:rPr>
            </w:pPr>
            <w:r>
              <w:rPr>
                <w:sz w:val="20"/>
              </w:rPr>
              <w:t>%</w:t>
            </w:r>
          </w:p>
        </w:tc>
        <w:tc>
          <w:tcPr>
            <w:tcW w:w="617" w:type="dxa"/>
            <w:tcBorders>
              <w:top w:val="single" w:sz="4" w:space="0" w:color="000000"/>
              <w:bottom w:val="single" w:sz="4" w:space="0" w:color="auto"/>
            </w:tcBorders>
            <w:shd w:val="clear" w:color="auto" w:fill="E7E6E6"/>
            <w:vAlign w:val="center"/>
          </w:tcPr>
          <w:p w14:paraId="132E98D3" w14:textId="782F8491" w:rsidR="003D1417" w:rsidRDefault="003D1417" w:rsidP="00AE14FF">
            <w:pPr>
              <w:pStyle w:val="TableParagraph"/>
              <w:spacing w:line="243" w:lineRule="exact"/>
              <w:jc w:val="center"/>
              <w:rPr>
                <w:sz w:val="20"/>
              </w:rPr>
            </w:pPr>
            <w:r>
              <w:rPr>
                <w:sz w:val="20"/>
              </w:rPr>
              <w:t>F</w:t>
            </w:r>
          </w:p>
        </w:tc>
        <w:tc>
          <w:tcPr>
            <w:tcW w:w="619" w:type="dxa"/>
            <w:tcBorders>
              <w:top w:val="single" w:sz="4" w:space="0" w:color="000000"/>
              <w:bottom w:val="single" w:sz="4" w:space="0" w:color="auto"/>
            </w:tcBorders>
            <w:shd w:val="clear" w:color="auto" w:fill="E7E6E6"/>
            <w:vAlign w:val="center"/>
          </w:tcPr>
          <w:p w14:paraId="60F17956" w14:textId="3228313C" w:rsidR="003D1417" w:rsidRDefault="003D1417" w:rsidP="00AE14FF">
            <w:pPr>
              <w:pStyle w:val="TableParagraph"/>
              <w:spacing w:line="243" w:lineRule="exact"/>
              <w:ind w:right="30"/>
              <w:jc w:val="center"/>
              <w:rPr>
                <w:sz w:val="20"/>
              </w:rPr>
            </w:pPr>
            <w:r>
              <w:rPr>
                <w:sz w:val="20"/>
              </w:rPr>
              <w:t>%</w:t>
            </w:r>
          </w:p>
        </w:tc>
        <w:tc>
          <w:tcPr>
            <w:tcW w:w="517" w:type="dxa"/>
            <w:tcBorders>
              <w:top w:val="single" w:sz="4" w:space="0" w:color="000000"/>
              <w:bottom w:val="single" w:sz="4" w:space="0" w:color="auto"/>
            </w:tcBorders>
            <w:shd w:val="clear" w:color="auto" w:fill="E7E6E6"/>
            <w:vAlign w:val="center"/>
          </w:tcPr>
          <w:p w14:paraId="7B84B7B9" w14:textId="62641E7E" w:rsidR="003D1417" w:rsidRDefault="003D1417" w:rsidP="00AE14FF">
            <w:pPr>
              <w:pStyle w:val="TableParagraph"/>
              <w:spacing w:line="243" w:lineRule="exact"/>
              <w:ind w:right="7"/>
              <w:jc w:val="center"/>
              <w:rPr>
                <w:sz w:val="20"/>
              </w:rPr>
            </w:pPr>
            <w:r>
              <w:rPr>
                <w:sz w:val="20"/>
              </w:rPr>
              <w:t>F</w:t>
            </w:r>
          </w:p>
        </w:tc>
        <w:tc>
          <w:tcPr>
            <w:tcW w:w="567" w:type="dxa"/>
            <w:tcBorders>
              <w:top w:val="single" w:sz="4" w:space="0" w:color="000000"/>
              <w:bottom w:val="single" w:sz="4" w:space="0" w:color="auto"/>
            </w:tcBorders>
            <w:shd w:val="clear" w:color="auto" w:fill="E7E6E6"/>
            <w:vAlign w:val="center"/>
          </w:tcPr>
          <w:p w14:paraId="63ED0606" w14:textId="3D8A34CA" w:rsidR="003D1417" w:rsidRDefault="003D1417" w:rsidP="00AE14FF">
            <w:pPr>
              <w:pStyle w:val="TableParagraph"/>
              <w:spacing w:line="243" w:lineRule="exact"/>
              <w:ind w:right="51"/>
              <w:jc w:val="center"/>
              <w:rPr>
                <w:sz w:val="20"/>
              </w:rPr>
            </w:pPr>
            <w:r>
              <w:rPr>
                <w:sz w:val="20"/>
              </w:rPr>
              <w:t>%</w:t>
            </w:r>
          </w:p>
        </w:tc>
      </w:tr>
      <w:tr w:rsidR="003D1417" w14:paraId="33511A43" w14:textId="7512B055" w:rsidTr="00527FA9">
        <w:trPr>
          <w:trHeight w:val="264"/>
          <w:jc w:val="center"/>
        </w:trPr>
        <w:tc>
          <w:tcPr>
            <w:tcW w:w="1717" w:type="dxa"/>
            <w:vMerge w:val="restart"/>
            <w:tcBorders>
              <w:top w:val="single" w:sz="4" w:space="0" w:color="auto"/>
            </w:tcBorders>
            <w:shd w:val="clear" w:color="auto" w:fill="E7E6E6"/>
            <w:vAlign w:val="center"/>
          </w:tcPr>
          <w:p w14:paraId="1B625741" w14:textId="7F2C7283" w:rsidR="003D1417" w:rsidRDefault="003D1417" w:rsidP="009F2A97">
            <w:pPr>
              <w:pStyle w:val="TableParagraph"/>
              <w:spacing w:line="243" w:lineRule="exact"/>
              <w:ind w:left="122"/>
              <w:jc w:val="center"/>
              <w:rPr>
                <w:sz w:val="20"/>
              </w:rPr>
            </w:pPr>
            <w:r>
              <w:rPr>
                <w:sz w:val="20"/>
              </w:rPr>
              <w:t>Quality CSRD</w:t>
            </w:r>
          </w:p>
        </w:tc>
        <w:tc>
          <w:tcPr>
            <w:tcW w:w="2169" w:type="dxa"/>
            <w:vMerge w:val="restart"/>
            <w:tcBorders>
              <w:top w:val="single" w:sz="4" w:space="0" w:color="auto"/>
            </w:tcBorders>
            <w:shd w:val="clear" w:color="auto" w:fill="E7E6E6"/>
            <w:vAlign w:val="center"/>
          </w:tcPr>
          <w:p w14:paraId="26BA2784" w14:textId="1BF15737" w:rsidR="003D1417" w:rsidRDefault="003D1417" w:rsidP="00AE14FF">
            <w:pPr>
              <w:pStyle w:val="TableParagraph"/>
              <w:spacing w:line="243" w:lineRule="exact"/>
              <w:rPr>
                <w:sz w:val="20"/>
              </w:rPr>
            </w:pPr>
            <w:r>
              <w:rPr>
                <w:sz w:val="20"/>
              </w:rPr>
              <w:t>Relevance</w:t>
            </w:r>
          </w:p>
        </w:tc>
        <w:tc>
          <w:tcPr>
            <w:tcW w:w="838" w:type="dxa"/>
            <w:tcBorders>
              <w:top w:val="single" w:sz="4" w:space="0" w:color="auto"/>
            </w:tcBorders>
            <w:shd w:val="clear" w:color="auto" w:fill="E7E6E6"/>
          </w:tcPr>
          <w:p w14:paraId="17561D0D" w14:textId="6C42C70B" w:rsidR="003D1417" w:rsidRDefault="00724980" w:rsidP="00AE14FF">
            <w:pPr>
              <w:pStyle w:val="TableParagraph"/>
              <w:spacing w:line="243" w:lineRule="exact"/>
              <w:jc w:val="center"/>
              <w:rPr>
                <w:sz w:val="20"/>
              </w:rPr>
            </w:pPr>
            <w:r>
              <w:rPr>
                <w:sz w:val="20"/>
              </w:rPr>
              <w:t>R1</w:t>
            </w:r>
          </w:p>
        </w:tc>
        <w:tc>
          <w:tcPr>
            <w:tcW w:w="1015" w:type="dxa"/>
            <w:tcBorders>
              <w:top w:val="single" w:sz="4" w:space="0" w:color="auto"/>
            </w:tcBorders>
            <w:shd w:val="clear" w:color="auto" w:fill="E7E6E6"/>
            <w:vAlign w:val="center"/>
          </w:tcPr>
          <w:p w14:paraId="4E8AB0B2" w14:textId="3AC0F3CF" w:rsidR="003D1417" w:rsidRDefault="003D1417" w:rsidP="00AE14FF">
            <w:pPr>
              <w:pStyle w:val="TableParagraph"/>
              <w:spacing w:line="243" w:lineRule="exact"/>
              <w:jc w:val="center"/>
              <w:rPr>
                <w:sz w:val="20"/>
              </w:rPr>
            </w:pPr>
            <w:r>
              <w:rPr>
                <w:sz w:val="20"/>
              </w:rPr>
              <w:t>8</w:t>
            </w:r>
          </w:p>
        </w:tc>
        <w:tc>
          <w:tcPr>
            <w:tcW w:w="619" w:type="dxa"/>
            <w:tcBorders>
              <w:top w:val="single" w:sz="4" w:space="0" w:color="auto"/>
            </w:tcBorders>
            <w:shd w:val="clear" w:color="auto" w:fill="E7E6E6"/>
            <w:vAlign w:val="center"/>
          </w:tcPr>
          <w:p w14:paraId="39A969EA" w14:textId="704A0827" w:rsidR="003D1417" w:rsidRDefault="003D1417" w:rsidP="00AE14FF">
            <w:pPr>
              <w:pStyle w:val="TableParagraph"/>
              <w:spacing w:line="243" w:lineRule="exact"/>
              <w:jc w:val="center"/>
              <w:rPr>
                <w:sz w:val="20"/>
              </w:rPr>
            </w:pPr>
            <w:r>
              <w:rPr>
                <w:sz w:val="20"/>
              </w:rPr>
              <w:t>61.5</w:t>
            </w:r>
          </w:p>
        </w:tc>
        <w:tc>
          <w:tcPr>
            <w:tcW w:w="617" w:type="dxa"/>
            <w:tcBorders>
              <w:top w:val="single" w:sz="4" w:space="0" w:color="auto"/>
            </w:tcBorders>
            <w:shd w:val="clear" w:color="auto" w:fill="E7E6E6"/>
            <w:vAlign w:val="center"/>
          </w:tcPr>
          <w:p w14:paraId="6B72ADAD" w14:textId="1BA58855" w:rsidR="003D1417" w:rsidRDefault="003D1417" w:rsidP="00AE14FF">
            <w:pPr>
              <w:pStyle w:val="TableParagraph"/>
              <w:spacing w:line="243" w:lineRule="exact"/>
              <w:jc w:val="center"/>
              <w:rPr>
                <w:sz w:val="20"/>
              </w:rPr>
            </w:pPr>
            <w:r>
              <w:rPr>
                <w:sz w:val="20"/>
              </w:rPr>
              <w:t>7</w:t>
            </w:r>
          </w:p>
        </w:tc>
        <w:tc>
          <w:tcPr>
            <w:tcW w:w="619" w:type="dxa"/>
            <w:tcBorders>
              <w:top w:val="single" w:sz="4" w:space="0" w:color="auto"/>
            </w:tcBorders>
            <w:shd w:val="clear" w:color="auto" w:fill="E7E6E6"/>
            <w:vAlign w:val="center"/>
          </w:tcPr>
          <w:p w14:paraId="748C3173" w14:textId="6BE424B1" w:rsidR="003D1417" w:rsidRDefault="003D1417" w:rsidP="00AE14FF">
            <w:pPr>
              <w:pStyle w:val="TableParagraph"/>
              <w:spacing w:line="243" w:lineRule="exact"/>
              <w:jc w:val="center"/>
              <w:rPr>
                <w:sz w:val="20"/>
              </w:rPr>
            </w:pPr>
            <w:r>
              <w:rPr>
                <w:sz w:val="20"/>
              </w:rPr>
              <w:t>53.8</w:t>
            </w:r>
          </w:p>
        </w:tc>
        <w:tc>
          <w:tcPr>
            <w:tcW w:w="517" w:type="dxa"/>
            <w:tcBorders>
              <w:top w:val="single" w:sz="4" w:space="0" w:color="auto"/>
            </w:tcBorders>
            <w:shd w:val="clear" w:color="auto" w:fill="E7E6E6"/>
            <w:vAlign w:val="center"/>
          </w:tcPr>
          <w:p w14:paraId="7FEF3D07" w14:textId="5667E3B2" w:rsidR="003D1417" w:rsidRDefault="003D1417" w:rsidP="00AE14FF">
            <w:pPr>
              <w:pStyle w:val="TableParagraph"/>
              <w:spacing w:line="243" w:lineRule="exact"/>
              <w:jc w:val="center"/>
              <w:rPr>
                <w:sz w:val="20"/>
              </w:rPr>
            </w:pPr>
            <w:r>
              <w:rPr>
                <w:sz w:val="20"/>
              </w:rPr>
              <w:t>7</w:t>
            </w:r>
          </w:p>
        </w:tc>
        <w:tc>
          <w:tcPr>
            <w:tcW w:w="567" w:type="dxa"/>
            <w:tcBorders>
              <w:top w:val="single" w:sz="4" w:space="0" w:color="auto"/>
            </w:tcBorders>
            <w:shd w:val="clear" w:color="auto" w:fill="E7E6E6"/>
            <w:vAlign w:val="center"/>
          </w:tcPr>
          <w:p w14:paraId="69C2DD11" w14:textId="145A3185" w:rsidR="003D1417" w:rsidRDefault="003D1417" w:rsidP="00AE14FF">
            <w:pPr>
              <w:pStyle w:val="TableParagraph"/>
              <w:spacing w:line="243" w:lineRule="exact"/>
              <w:jc w:val="center"/>
              <w:rPr>
                <w:sz w:val="20"/>
              </w:rPr>
            </w:pPr>
            <w:r>
              <w:rPr>
                <w:sz w:val="20"/>
              </w:rPr>
              <w:t>53.8</w:t>
            </w:r>
          </w:p>
        </w:tc>
      </w:tr>
      <w:tr w:rsidR="003D1417" w14:paraId="7FBEB34A" w14:textId="77777777" w:rsidTr="00527FA9">
        <w:trPr>
          <w:trHeight w:val="264"/>
          <w:jc w:val="center"/>
        </w:trPr>
        <w:tc>
          <w:tcPr>
            <w:tcW w:w="1717" w:type="dxa"/>
            <w:vMerge/>
            <w:shd w:val="clear" w:color="auto" w:fill="E7E6E6"/>
            <w:vAlign w:val="center"/>
          </w:tcPr>
          <w:p w14:paraId="0DFDB1A2" w14:textId="77777777" w:rsidR="003D1417" w:rsidRDefault="003D1417" w:rsidP="003F49EF">
            <w:pPr>
              <w:pStyle w:val="TableParagraph"/>
              <w:spacing w:line="243" w:lineRule="exact"/>
              <w:ind w:left="122"/>
              <w:jc w:val="center"/>
              <w:rPr>
                <w:sz w:val="20"/>
              </w:rPr>
            </w:pPr>
          </w:p>
        </w:tc>
        <w:tc>
          <w:tcPr>
            <w:tcW w:w="2169" w:type="dxa"/>
            <w:vMerge/>
            <w:shd w:val="clear" w:color="auto" w:fill="E7E6E6"/>
            <w:vAlign w:val="center"/>
          </w:tcPr>
          <w:p w14:paraId="58943F89" w14:textId="1D59E592" w:rsidR="003D1417" w:rsidRDefault="003D1417" w:rsidP="003F49EF">
            <w:pPr>
              <w:pStyle w:val="TableParagraph"/>
              <w:spacing w:line="243" w:lineRule="exact"/>
              <w:rPr>
                <w:sz w:val="20"/>
              </w:rPr>
            </w:pPr>
          </w:p>
        </w:tc>
        <w:tc>
          <w:tcPr>
            <w:tcW w:w="838" w:type="dxa"/>
            <w:shd w:val="clear" w:color="auto" w:fill="E7E6E6"/>
          </w:tcPr>
          <w:p w14:paraId="250229D9" w14:textId="60B4D6AC" w:rsidR="003D1417" w:rsidRDefault="00724980" w:rsidP="003F49EF">
            <w:pPr>
              <w:pStyle w:val="TableParagraph"/>
              <w:spacing w:line="243" w:lineRule="exact"/>
              <w:jc w:val="center"/>
              <w:rPr>
                <w:sz w:val="20"/>
              </w:rPr>
            </w:pPr>
            <w:r>
              <w:rPr>
                <w:sz w:val="20"/>
              </w:rPr>
              <w:t>R2</w:t>
            </w:r>
          </w:p>
        </w:tc>
        <w:tc>
          <w:tcPr>
            <w:tcW w:w="1015" w:type="dxa"/>
            <w:shd w:val="clear" w:color="auto" w:fill="E7E6E6"/>
            <w:vAlign w:val="center"/>
          </w:tcPr>
          <w:p w14:paraId="4A5640A3" w14:textId="5DA52ED3" w:rsidR="003D1417" w:rsidRDefault="003D1417" w:rsidP="003F49EF">
            <w:pPr>
              <w:pStyle w:val="TableParagraph"/>
              <w:spacing w:line="243" w:lineRule="exact"/>
              <w:jc w:val="center"/>
              <w:rPr>
                <w:sz w:val="20"/>
              </w:rPr>
            </w:pPr>
            <w:r>
              <w:rPr>
                <w:sz w:val="20"/>
              </w:rPr>
              <w:t>5</w:t>
            </w:r>
          </w:p>
        </w:tc>
        <w:tc>
          <w:tcPr>
            <w:tcW w:w="619" w:type="dxa"/>
            <w:shd w:val="clear" w:color="auto" w:fill="E7E6E6"/>
            <w:vAlign w:val="center"/>
          </w:tcPr>
          <w:p w14:paraId="69FA8D32" w14:textId="67839F6A" w:rsidR="003D1417" w:rsidRDefault="003D1417" w:rsidP="003F49EF">
            <w:pPr>
              <w:pStyle w:val="TableParagraph"/>
              <w:spacing w:line="243" w:lineRule="exact"/>
              <w:ind w:right="18"/>
              <w:jc w:val="center"/>
              <w:rPr>
                <w:sz w:val="20"/>
              </w:rPr>
            </w:pPr>
            <w:r>
              <w:rPr>
                <w:sz w:val="20"/>
              </w:rPr>
              <w:t>38.5</w:t>
            </w:r>
          </w:p>
        </w:tc>
        <w:tc>
          <w:tcPr>
            <w:tcW w:w="617" w:type="dxa"/>
            <w:shd w:val="clear" w:color="auto" w:fill="E7E6E6"/>
            <w:vAlign w:val="center"/>
          </w:tcPr>
          <w:p w14:paraId="4C07AB27" w14:textId="3F8789D6" w:rsidR="003D1417" w:rsidRDefault="003D1417" w:rsidP="003F49EF">
            <w:pPr>
              <w:pStyle w:val="TableParagraph"/>
              <w:spacing w:line="243" w:lineRule="exact"/>
              <w:ind w:left="-18"/>
              <w:jc w:val="center"/>
              <w:rPr>
                <w:sz w:val="20"/>
              </w:rPr>
            </w:pPr>
            <w:r>
              <w:rPr>
                <w:sz w:val="20"/>
              </w:rPr>
              <w:t>6</w:t>
            </w:r>
          </w:p>
        </w:tc>
        <w:tc>
          <w:tcPr>
            <w:tcW w:w="619" w:type="dxa"/>
            <w:shd w:val="clear" w:color="auto" w:fill="E7E6E6"/>
            <w:vAlign w:val="center"/>
          </w:tcPr>
          <w:p w14:paraId="5D3DD7E6" w14:textId="4DBFB8E6" w:rsidR="003D1417" w:rsidRDefault="003D1417" w:rsidP="003F49EF">
            <w:pPr>
              <w:pStyle w:val="TableParagraph"/>
              <w:spacing w:line="243" w:lineRule="exact"/>
              <w:jc w:val="center"/>
              <w:rPr>
                <w:sz w:val="20"/>
              </w:rPr>
            </w:pPr>
            <w:r>
              <w:rPr>
                <w:sz w:val="20"/>
              </w:rPr>
              <w:t>46.2</w:t>
            </w:r>
          </w:p>
        </w:tc>
        <w:tc>
          <w:tcPr>
            <w:tcW w:w="517" w:type="dxa"/>
            <w:shd w:val="clear" w:color="auto" w:fill="E7E6E6"/>
            <w:vAlign w:val="center"/>
          </w:tcPr>
          <w:p w14:paraId="28907F81" w14:textId="4F252772" w:rsidR="003D1417" w:rsidRDefault="003D1417" w:rsidP="003F49EF">
            <w:pPr>
              <w:pStyle w:val="TableParagraph"/>
              <w:spacing w:line="243" w:lineRule="exact"/>
              <w:jc w:val="center"/>
              <w:rPr>
                <w:sz w:val="20"/>
              </w:rPr>
            </w:pPr>
            <w:r>
              <w:rPr>
                <w:sz w:val="20"/>
              </w:rPr>
              <w:t>9</w:t>
            </w:r>
          </w:p>
        </w:tc>
        <w:tc>
          <w:tcPr>
            <w:tcW w:w="567" w:type="dxa"/>
            <w:shd w:val="clear" w:color="auto" w:fill="E7E6E6"/>
            <w:vAlign w:val="center"/>
          </w:tcPr>
          <w:p w14:paraId="4A782F63" w14:textId="5F671CB9" w:rsidR="003D1417" w:rsidRDefault="003D1417" w:rsidP="003F49EF">
            <w:pPr>
              <w:pStyle w:val="TableParagraph"/>
              <w:spacing w:line="243" w:lineRule="exact"/>
              <w:jc w:val="center"/>
              <w:rPr>
                <w:sz w:val="20"/>
              </w:rPr>
            </w:pPr>
            <w:r>
              <w:rPr>
                <w:sz w:val="20"/>
              </w:rPr>
              <w:t>69.2</w:t>
            </w:r>
          </w:p>
        </w:tc>
      </w:tr>
      <w:tr w:rsidR="003D1417" w14:paraId="187DAB65" w14:textId="77777777" w:rsidTr="00527FA9">
        <w:trPr>
          <w:trHeight w:val="264"/>
          <w:jc w:val="center"/>
        </w:trPr>
        <w:tc>
          <w:tcPr>
            <w:tcW w:w="1717" w:type="dxa"/>
            <w:vMerge/>
            <w:shd w:val="clear" w:color="auto" w:fill="E7E6E6"/>
            <w:vAlign w:val="center"/>
          </w:tcPr>
          <w:p w14:paraId="68917636" w14:textId="77777777" w:rsidR="003D1417" w:rsidRDefault="003D1417" w:rsidP="003F49EF">
            <w:pPr>
              <w:pStyle w:val="TableParagraph"/>
              <w:spacing w:line="243" w:lineRule="exact"/>
              <w:ind w:left="122"/>
              <w:jc w:val="center"/>
              <w:rPr>
                <w:sz w:val="20"/>
              </w:rPr>
            </w:pPr>
          </w:p>
        </w:tc>
        <w:tc>
          <w:tcPr>
            <w:tcW w:w="2169" w:type="dxa"/>
            <w:vMerge w:val="restart"/>
            <w:shd w:val="clear" w:color="auto" w:fill="E7E6E6"/>
            <w:vAlign w:val="center"/>
          </w:tcPr>
          <w:p w14:paraId="2F70EB55" w14:textId="20470E7C" w:rsidR="003D1417" w:rsidRDefault="003D1417" w:rsidP="003F49EF">
            <w:pPr>
              <w:pStyle w:val="TableParagraph"/>
              <w:spacing w:line="243" w:lineRule="exact"/>
              <w:rPr>
                <w:sz w:val="20"/>
              </w:rPr>
            </w:pPr>
            <w:r>
              <w:rPr>
                <w:sz w:val="20"/>
              </w:rPr>
              <w:t>Faithful Representation</w:t>
            </w:r>
          </w:p>
        </w:tc>
        <w:tc>
          <w:tcPr>
            <w:tcW w:w="838" w:type="dxa"/>
            <w:shd w:val="clear" w:color="auto" w:fill="E7E6E6"/>
          </w:tcPr>
          <w:p w14:paraId="71D26E94" w14:textId="4F7C3512" w:rsidR="003D1417" w:rsidRDefault="00724980" w:rsidP="003F49EF">
            <w:pPr>
              <w:pStyle w:val="TableParagraph"/>
              <w:spacing w:line="243" w:lineRule="exact"/>
              <w:jc w:val="center"/>
              <w:rPr>
                <w:sz w:val="20"/>
              </w:rPr>
            </w:pPr>
            <w:r>
              <w:rPr>
                <w:sz w:val="20"/>
              </w:rPr>
              <w:t>F1</w:t>
            </w:r>
          </w:p>
        </w:tc>
        <w:tc>
          <w:tcPr>
            <w:tcW w:w="1015" w:type="dxa"/>
            <w:shd w:val="clear" w:color="auto" w:fill="E7E6E6"/>
            <w:vAlign w:val="center"/>
          </w:tcPr>
          <w:p w14:paraId="1A00DD12" w14:textId="5F0C3176" w:rsidR="003D1417" w:rsidRDefault="003D1417" w:rsidP="003F49EF">
            <w:pPr>
              <w:pStyle w:val="TableParagraph"/>
              <w:spacing w:line="243" w:lineRule="exact"/>
              <w:jc w:val="center"/>
              <w:rPr>
                <w:sz w:val="20"/>
              </w:rPr>
            </w:pPr>
            <w:r>
              <w:rPr>
                <w:sz w:val="20"/>
              </w:rPr>
              <w:t>7</w:t>
            </w:r>
          </w:p>
        </w:tc>
        <w:tc>
          <w:tcPr>
            <w:tcW w:w="619" w:type="dxa"/>
            <w:shd w:val="clear" w:color="auto" w:fill="E7E6E6"/>
            <w:vAlign w:val="center"/>
          </w:tcPr>
          <w:p w14:paraId="2E2DB011" w14:textId="2FDFD2B4" w:rsidR="003D1417" w:rsidRDefault="003D1417" w:rsidP="003F49EF">
            <w:pPr>
              <w:pStyle w:val="TableParagraph"/>
              <w:spacing w:line="243" w:lineRule="exact"/>
              <w:ind w:right="18"/>
              <w:jc w:val="center"/>
              <w:rPr>
                <w:sz w:val="20"/>
              </w:rPr>
            </w:pPr>
            <w:r>
              <w:rPr>
                <w:sz w:val="20"/>
              </w:rPr>
              <w:t>53.8</w:t>
            </w:r>
          </w:p>
        </w:tc>
        <w:tc>
          <w:tcPr>
            <w:tcW w:w="617" w:type="dxa"/>
            <w:shd w:val="clear" w:color="auto" w:fill="E7E6E6"/>
            <w:vAlign w:val="center"/>
          </w:tcPr>
          <w:p w14:paraId="29C83C51" w14:textId="38A30807" w:rsidR="003D1417" w:rsidRDefault="003D1417" w:rsidP="003F49EF">
            <w:pPr>
              <w:pStyle w:val="TableParagraph"/>
              <w:spacing w:line="243" w:lineRule="exact"/>
              <w:ind w:left="-18"/>
              <w:jc w:val="center"/>
              <w:rPr>
                <w:sz w:val="20"/>
              </w:rPr>
            </w:pPr>
            <w:r>
              <w:rPr>
                <w:sz w:val="20"/>
              </w:rPr>
              <w:t>6</w:t>
            </w:r>
          </w:p>
        </w:tc>
        <w:tc>
          <w:tcPr>
            <w:tcW w:w="619" w:type="dxa"/>
            <w:shd w:val="clear" w:color="auto" w:fill="E7E6E6"/>
            <w:vAlign w:val="center"/>
          </w:tcPr>
          <w:p w14:paraId="01BEB57D" w14:textId="6177B6B4" w:rsidR="003D1417" w:rsidRDefault="003D1417" w:rsidP="003F49EF">
            <w:pPr>
              <w:pStyle w:val="TableParagraph"/>
              <w:spacing w:line="243" w:lineRule="exact"/>
              <w:jc w:val="center"/>
              <w:rPr>
                <w:sz w:val="20"/>
              </w:rPr>
            </w:pPr>
            <w:r>
              <w:rPr>
                <w:sz w:val="20"/>
              </w:rPr>
              <w:t>46.2</w:t>
            </w:r>
          </w:p>
        </w:tc>
        <w:tc>
          <w:tcPr>
            <w:tcW w:w="517" w:type="dxa"/>
            <w:shd w:val="clear" w:color="auto" w:fill="E7E6E6"/>
            <w:vAlign w:val="center"/>
          </w:tcPr>
          <w:p w14:paraId="0C452985" w14:textId="48A90024" w:rsidR="003D1417" w:rsidRDefault="003D1417" w:rsidP="003F49EF">
            <w:pPr>
              <w:pStyle w:val="TableParagraph"/>
              <w:spacing w:line="243" w:lineRule="exact"/>
              <w:jc w:val="center"/>
              <w:rPr>
                <w:sz w:val="20"/>
              </w:rPr>
            </w:pPr>
            <w:r>
              <w:rPr>
                <w:sz w:val="20"/>
              </w:rPr>
              <w:t>6</w:t>
            </w:r>
          </w:p>
        </w:tc>
        <w:tc>
          <w:tcPr>
            <w:tcW w:w="567" w:type="dxa"/>
            <w:shd w:val="clear" w:color="auto" w:fill="E7E6E6"/>
            <w:vAlign w:val="center"/>
          </w:tcPr>
          <w:p w14:paraId="54569421" w14:textId="16773C5F" w:rsidR="003D1417" w:rsidRDefault="003D1417" w:rsidP="003F49EF">
            <w:pPr>
              <w:pStyle w:val="TableParagraph"/>
              <w:spacing w:line="243" w:lineRule="exact"/>
              <w:jc w:val="center"/>
              <w:rPr>
                <w:sz w:val="20"/>
              </w:rPr>
            </w:pPr>
            <w:r>
              <w:rPr>
                <w:sz w:val="20"/>
              </w:rPr>
              <w:t>46.2</w:t>
            </w:r>
          </w:p>
        </w:tc>
      </w:tr>
      <w:tr w:rsidR="003D1417" w14:paraId="685438F2" w14:textId="77777777" w:rsidTr="00527FA9">
        <w:trPr>
          <w:trHeight w:val="264"/>
          <w:jc w:val="center"/>
        </w:trPr>
        <w:tc>
          <w:tcPr>
            <w:tcW w:w="1717" w:type="dxa"/>
            <w:vMerge/>
            <w:shd w:val="clear" w:color="auto" w:fill="E7E6E6"/>
            <w:vAlign w:val="center"/>
          </w:tcPr>
          <w:p w14:paraId="6E611D4E" w14:textId="77777777" w:rsidR="003D1417" w:rsidRDefault="003D1417" w:rsidP="003F49EF">
            <w:pPr>
              <w:pStyle w:val="TableParagraph"/>
              <w:spacing w:line="243" w:lineRule="exact"/>
              <w:ind w:left="122"/>
              <w:jc w:val="center"/>
              <w:rPr>
                <w:sz w:val="20"/>
              </w:rPr>
            </w:pPr>
          </w:p>
        </w:tc>
        <w:tc>
          <w:tcPr>
            <w:tcW w:w="2169" w:type="dxa"/>
            <w:vMerge/>
            <w:shd w:val="clear" w:color="auto" w:fill="E7E6E6"/>
            <w:vAlign w:val="center"/>
          </w:tcPr>
          <w:p w14:paraId="1EAE1C65" w14:textId="4C5E3C7C" w:rsidR="003D1417" w:rsidRDefault="003D1417" w:rsidP="003F49EF">
            <w:pPr>
              <w:pStyle w:val="TableParagraph"/>
              <w:spacing w:line="243" w:lineRule="exact"/>
              <w:rPr>
                <w:sz w:val="20"/>
              </w:rPr>
            </w:pPr>
          </w:p>
        </w:tc>
        <w:tc>
          <w:tcPr>
            <w:tcW w:w="838" w:type="dxa"/>
            <w:shd w:val="clear" w:color="auto" w:fill="E7E6E6"/>
          </w:tcPr>
          <w:p w14:paraId="7B9CCCD5" w14:textId="678E589F" w:rsidR="003D1417" w:rsidRDefault="00724980" w:rsidP="003F49EF">
            <w:pPr>
              <w:pStyle w:val="TableParagraph"/>
              <w:spacing w:line="243" w:lineRule="exact"/>
              <w:jc w:val="center"/>
              <w:rPr>
                <w:sz w:val="20"/>
              </w:rPr>
            </w:pPr>
            <w:r>
              <w:rPr>
                <w:sz w:val="20"/>
              </w:rPr>
              <w:t>F2</w:t>
            </w:r>
          </w:p>
        </w:tc>
        <w:tc>
          <w:tcPr>
            <w:tcW w:w="1015" w:type="dxa"/>
            <w:shd w:val="clear" w:color="auto" w:fill="E7E6E6"/>
            <w:vAlign w:val="center"/>
          </w:tcPr>
          <w:p w14:paraId="18840744" w14:textId="30E9277E" w:rsidR="003D1417" w:rsidRDefault="003D1417" w:rsidP="003F49EF">
            <w:pPr>
              <w:pStyle w:val="TableParagraph"/>
              <w:spacing w:line="243" w:lineRule="exact"/>
              <w:jc w:val="center"/>
              <w:rPr>
                <w:sz w:val="20"/>
              </w:rPr>
            </w:pPr>
            <w:r>
              <w:rPr>
                <w:sz w:val="20"/>
              </w:rPr>
              <w:t>4</w:t>
            </w:r>
          </w:p>
        </w:tc>
        <w:tc>
          <w:tcPr>
            <w:tcW w:w="619" w:type="dxa"/>
            <w:shd w:val="clear" w:color="auto" w:fill="E7E6E6"/>
            <w:vAlign w:val="center"/>
          </w:tcPr>
          <w:p w14:paraId="1C177480" w14:textId="15767EF7" w:rsidR="003D1417" w:rsidRDefault="003D1417" w:rsidP="003F49EF">
            <w:pPr>
              <w:pStyle w:val="TableParagraph"/>
              <w:spacing w:line="243" w:lineRule="exact"/>
              <w:ind w:right="18"/>
              <w:jc w:val="center"/>
              <w:rPr>
                <w:sz w:val="20"/>
              </w:rPr>
            </w:pPr>
            <w:r>
              <w:rPr>
                <w:sz w:val="20"/>
              </w:rPr>
              <w:t>30.8</w:t>
            </w:r>
          </w:p>
        </w:tc>
        <w:tc>
          <w:tcPr>
            <w:tcW w:w="617" w:type="dxa"/>
            <w:shd w:val="clear" w:color="auto" w:fill="E7E6E6"/>
            <w:vAlign w:val="center"/>
          </w:tcPr>
          <w:p w14:paraId="4ADD2033" w14:textId="03075E07" w:rsidR="003D1417" w:rsidRDefault="003D1417" w:rsidP="003F49EF">
            <w:pPr>
              <w:pStyle w:val="TableParagraph"/>
              <w:spacing w:line="243" w:lineRule="exact"/>
              <w:jc w:val="center"/>
              <w:rPr>
                <w:sz w:val="20"/>
              </w:rPr>
            </w:pPr>
            <w:r>
              <w:rPr>
                <w:sz w:val="20"/>
              </w:rPr>
              <w:t>4</w:t>
            </w:r>
          </w:p>
        </w:tc>
        <w:tc>
          <w:tcPr>
            <w:tcW w:w="619" w:type="dxa"/>
            <w:shd w:val="clear" w:color="auto" w:fill="E7E6E6"/>
            <w:vAlign w:val="center"/>
          </w:tcPr>
          <w:p w14:paraId="20292C3B" w14:textId="47790918" w:rsidR="003D1417" w:rsidRDefault="003D1417" w:rsidP="003F49EF">
            <w:pPr>
              <w:pStyle w:val="TableParagraph"/>
              <w:spacing w:line="243" w:lineRule="exact"/>
              <w:jc w:val="center"/>
              <w:rPr>
                <w:sz w:val="20"/>
              </w:rPr>
            </w:pPr>
            <w:r>
              <w:rPr>
                <w:sz w:val="20"/>
              </w:rPr>
              <w:t>30.8</w:t>
            </w:r>
          </w:p>
        </w:tc>
        <w:tc>
          <w:tcPr>
            <w:tcW w:w="517" w:type="dxa"/>
            <w:shd w:val="clear" w:color="auto" w:fill="E7E6E6"/>
            <w:vAlign w:val="center"/>
          </w:tcPr>
          <w:p w14:paraId="669295E5" w14:textId="095EAF8B" w:rsidR="003D1417" w:rsidRDefault="003D1417" w:rsidP="003F49EF">
            <w:pPr>
              <w:pStyle w:val="TableParagraph"/>
              <w:spacing w:line="243" w:lineRule="exact"/>
              <w:jc w:val="center"/>
              <w:rPr>
                <w:sz w:val="20"/>
              </w:rPr>
            </w:pPr>
            <w:r>
              <w:rPr>
                <w:sz w:val="20"/>
              </w:rPr>
              <w:t>5</w:t>
            </w:r>
          </w:p>
        </w:tc>
        <w:tc>
          <w:tcPr>
            <w:tcW w:w="567" w:type="dxa"/>
            <w:shd w:val="clear" w:color="auto" w:fill="E7E6E6"/>
            <w:vAlign w:val="center"/>
          </w:tcPr>
          <w:p w14:paraId="208D5074" w14:textId="6AD5D4AE" w:rsidR="003D1417" w:rsidRDefault="003D1417" w:rsidP="003F49EF">
            <w:pPr>
              <w:pStyle w:val="TableParagraph"/>
              <w:spacing w:line="243" w:lineRule="exact"/>
              <w:jc w:val="center"/>
              <w:rPr>
                <w:sz w:val="20"/>
              </w:rPr>
            </w:pPr>
            <w:r>
              <w:rPr>
                <w:sz w:val="20"/>
              </w:rPr>
              <w:t>38.5</w:t>
            </w:r>
          </w:p>
        </w:tc>
      </w:tr>
      <w:tr w:rsidR="003D1417" w14:paraId="6D5D980E" w14:textId="77777777" w:rsidTr="00527FA9">
        <w:trPr>
          <w:trHeight w:val="264"/>
          <w:jc w:val="center"/>
        </w:trPr>
        <w:tc>
          <w:tcPr>
            <w:tcW w:w="1717" w:type="dxa"/>
            <w:vMerge/>
            <w:shd w:val="clear" w:color="auto" w:fill="E7E6E6"/>
            <w:vAlign w:val="center"/>
          </w:tcPr>
          <w:p w14:paraId="455AC0C1" w14:textId="77777777" w:rsidR="003D1417" w:rsidRDefault="003D1417" w:rsidP="003F49EF">
            <w:pPr>
              <w:pStyle w:val="TableParagraph"/>
              <w:spacing w:line="243" w:lineRule="exact"/>
              <w:ind w:left="122"/>
              <w:jc w:val="center"/>
              <w:rPr>
                <w:sz w:val="20"/>
              </w:rPr>
            </w:pPr>
          </w:p>
        </w:tc>
        <w:tc>
          <w:tcPr>
            <w:tcW w:w="2169" w:type="dxa"/>
            <w:vMerge w:val="restart"/>
            <w:shd w:val="clear" w:color="auto" w:fill="E7E6E6"/>
            <w:vAlign w:val="center"/>
          </w:tcPr>
          <w:p w14:paraId="45A17EE9" w14:textId="56434AD8" w:rsidR="003D1417" w:rsidRDefault="003D1417" w:rsidP="003F49EF">
            <w:pPr>
              <w:pStyle w:val="TableParagraph"/>
              <w:spacing w:line="243" w:lineRule="exact"/>
              <w:rPr>
                <w:sz w:val="20"/>
              </w:rPr>
            </w:pPr>
            <w:r>
              <w:rPr>
                <w:sz w:val="20"/>
              </w:rPr>
              <w:t>Understandability</w:t>
            </w:r>
          </w:p>
        </w:tc>
        <w:tc>
          <w:tcPr>
            <w:tcW w:w="838" w:type="dxa"/>
            <w:shd w:val="clear" w:color="auto" w:fill="E7E6E6"/>
          </w:tcPr>
          <w:p w14:paraId="2BCC3CE8" w14:textId="78BD0125" w:rsidR="003D1417" w:rsidRDefault="00724980" w:rsidP="003F49EF">
            <w:pPr>
              <w:pStyle w:val="TableParagraph"/>
              <w:spacing w:line="243" w:lineRule="exact"/>
              <w:jc w:val="center"/>
              <w:rPr>
                <w:sz w:val="20"/>
              </w:rPr>
            </w:pPr>
            <w:r>
              <w:rPr>
                <w:sz w:val="20"/>
              </w:rPr>
              <w:t>U1</w:t>
            </w:r>
          </w:p>
        </w:tc>
        <w:tc>
          <w:tcPr>
            <w:tcW w:w="1015" w:type="dxa"/>
            <w:shd w:val="clear" w:color="auto" w:fill="E7E6E6"/>
            <w:vAlign w:val="center"/>
          </w:tcPr>
          <w:p w14:paraId="5F8E7F78" w14:textId="496B1332" w:rsidR="003D1417" w:rsidRDefault="003D1417" w:rsidP="003F49EF">
            <w:pPr>
              <w:pStyle w:val="TableParagraph"/>
              <w:spacing w:line="243" w:lineRule="exact"/>
              <w:jc w:val="center"/>
              <w:rPr>
                <w:sz w:val="20"/>
              </w:rPr>
            </w:pPr>
            <w:r>
              <w:rPr>
                <w:sz w:val="20"/>
              </w:rPr>
              <w:t>4</w:t>
            </w:r>
          </w:p>
        </w:tc>
        <w:tc>
          <w:tcPr>
            <w:tcW w:w="619" w:type="dxa"/>
            <w:shd w:val="clear" w:color="auto" w:fill="E7E6E6"/>
            <w:vAlign w:val="center"/>
          </w:tcPr>
          <w:p w14:paraId="78BCFBBA" w14:textId="44709B46" w:rsidR="003D1417" w:rsidRDefault="003D1417" w:rsidP="003F49EF">
            <w:pPr>
              <w:pStyle w:val="TableParagraph"/>
              <w:spacing w:line="243" w:lineRule="exact"/>
              <w:ind w:right="18"/>
              <w:jc w:val="center"/>
              <w:rPr>
                <w:sz w:val="20"/>
              </w:rPr>
            </w:pPr>
            <w:r>
              <w:rPr>
                <w:sz w:val="20"/>
              </w:rPr>
              <w:t>30.8</w:t>
            </w:r>
          </w:p>
        </w:tc>
        <w:tc>
          <w:tcPr>
            <w:tcW w:w="617" w:type="dxa"/>
            <w:shd w:val="clear" w:color="auto" w:fill="E7E6E6"/>
            <w:vAlign w:val="center"/>
          </w:tcPr>
          <w:p w14:paraId="0512064F" w14:textId="2F01A8D1" w:rsidR="003D1417" w:rsidRDefault="003D1417" w:rsidP="003F49EF">
            <w:pPr>
              <w:pStyle w:val="TableParagraph"/>
              <w:spacing w:line="243" w:lineRule="exact"/>
              <w:jc w:val="center"/>
              <w:rPr>
                <w:sz w:val="20"/>
              </w:rPr>
            </w:pPr>
            <w:r>
              <w:rPr>
                <w:sz w:val="20"/>
              </w:rPr>
              <w:t>6</w:t>
            </w:r>
          </w:p>
        </w:tc>
        <w:tc>
          <w:tcPr>
            <w:tcW w:w="619" w:type="dxa"/>
            <w:shd w:val="clear" w:color="auto" w:fill="E7E6E6"/>
            <w:vAlign w:val="center"/>
          </w:tcPr>
          <w:p w14:paraId="1F88C25E" w14:textId="6F124A72" w:rsidR="003D1417" w:rsidRDefault="003D1417" w:rsidP="003F49EF">
            <w:pPr>
              <w:pStyle w:val="TableParagraph"/>
              <w:spacing w:line="243" w:lineRule="exact"/>
              <w:jc w:val="center"/>
              <w:rPr>
                <w:sz w:val="20"/>
              </w:rPr>
            </w:pPr>
            <w:r>
              <w:rPr>
                <w:sz w:val="20"/>
              </w:rPr>
              <w:t>46.2</w:t>
            </w:r>
          </w:p>
        </w:tc>
        <w:tc>
          <w:tcPr>
            <w:tcW w:w="517" w:type="dxa"/>
            <w:shd w:val="clear" w:color="auto" w:fill="E7E6E6"/>
            <w:vAlign w:val="center"/>
          </w:tcPr>
          <w:p w14:paraId="5C95566E" w14:textId="2BBEF299" w:rsidR="003D1417" w:rsidRDefault="003D1417" w:rsidP="003F49EF">
            <w:pPr>
              <w:pStyle w:val="TableParagraph"/>
              <w:spacing w:line="243" w:lineRule="exact"/>
              <w:jc w:val="center"/>
              <w:rPr>
                <w:sz w:val="20"/>
              </w:rPr>
            </w:pPr>
            <w:r>
              <w:rPr>
                <w:sz w:val="20"/>
              </w:rPr>
              <w:t>5</w:t>
            </w:r>
          </w:p>
        </w:tc>
        <w:tc>
          <w:tcPr>
            <w:tcW w:w="567" w:type="dxa"/>
            <w:shd w:val="clear" w:color="auto" w:fill="E7E6E6"/>
            <w:vAlign w:val="center"/>
          </w:tcPr>
          <w:p w14:paraId="6821A255" w14:textId="0384AAF9" w:rsidR="003D1417" w:rsidRDefault="003D1417" w:rsidP="003F49EF">
            <w:pPr>
              <w:pStyle w:val="TableParagraph"/>
              <w:spacing w:line="243" w:lineRule="exact"/>
              <w:jc w:val="center"/>
              <w:rPr>
                <w:sz w:val="20"/>
              </w:rPr>
            </w:pPr>
            <w:r>
              <w:rPr>
                <w:sz w:val="20"/>
              </w:rPr>
              <w:t>38.5</w:t>
            </w:r>
          </w:p>
        </w:tc>
      </w:tr>
      <w:tr w:rsidR="003D1417" w14:paraId="5BA4AFB1" w14:textId="77777777" w:rsidTr="00527FA9">
        <w:trPr>
          <w:trHeight w:val="264"/>
          <w:jc w:val="center"/>
        </w:trPr>
        <w:tc>
          <w:tcPr>
            <w:tcW w:w="1717" w:type="dxa"/>
            <w:vMerge/>
            <w:shd w:val="clear" w:color="auto" w:fill="E7E6E6"/>
            <w:vAlign w:val="center"/>
          </w:tcPr>
          <w:p w14:paraId="099BE3D8" w14:textId="77777777" w:rsidR="003D1417" w:rsidRDefault="003D1417" w:rsidP="003F49EF">
            <w:pPr>
              <w:pStyle w:val="TableParagraph"/>
              <w:spacing w:line="243" w:lineRule="exact"/>
              <w:ind w:left="122"/>
              <w:jc w:val="center"/>
              <w:rPr>
                <w:sz w:val="20"/>
              </w:rPr>
            </w:pPr>
          </w:p>
        </w:tc>
        <w:tc>
          <w:tcPr>
            <w:tcW w:w="2169" w:type="dxa"/>
            <w:vMerge/>
            <w:shd w:val="clear" w:color="auto" w:fill="E7E6E6"/>
            <w:vAlign w:val="center"/>
          </w:tcPr>
          <w:p w14:paraId="3C809023" w14:textId="335BFD48" w:rsidR="003D1417" w:rsidRDefault="003D1417" w:rsidP="003F49EF">
            <w:pPr>
              <w:pStyle w:val="TableParagraph"/>
              <w:spacing w:line="243" w:lineRule="exact"/>
              <w:rPr>
                <w:sz w:val="20"/>
              </w:rPr>
            </w:pPr>
          </w:p>
        </w:tc>
        <w:tc>
          <w:tcPr>
            <w:tcW w:w="838" w:type="dxa"/>
            <w:shd w:val="clear" w:color="auto" w:fill="E7E6E6"/>
          </w:tcPr>
          <w:p w14:paraId="7AC12CB8" w14:textId="478CC958" w:rsidR="003D1417" w:rsidRDefault="00724980" w:rsidP="00281E75">
            <w:pPr>
              <w:pStyle w:val="TableParagraph"/>
              <w:spacing w:line="243" w:lineRule="exact"/>
              <w:ind w:right="-35"/>
              <w:jc w:val="center"/>
              <w:rPr>
                <w:sz w:val="20"/>
              </w:rPr>
            </w:pPr>
            <w:r>
              <w:rPr>
                <w:sz w:val="20"/>
              </w:rPr>
              <w:t>U2</w:t>
            </w:r>
          </w:p>
        </w:tc>
        <w:tc>
          <w:tcPr>
            <w:tcW w:w="1015" w:type="dxa"/>
            <w:shd w:val="clear" w:color="auto" w:fill="E7E6E6"/>
            <w:vAlign w:val="center"/>
          </w:tcPr>
          <w:p w14:paraId="2B26712C" w14:textId="55495EA8" w:rsidR="003D1417" w:rsidRDefault="003D1417" w:rsidP="00281E75">
            <w:pPr>
              <w:pStyle w:val="TableParagraph"/>
              <w:spacing w:line="243" w:lineRule="exact"/>
              <w:ind w:right="-35"/>
              <w:jc w:val="center"/>
              <w:rPr>
                <w:sz w:val="20"/>
              </w:rPr>
            </w:pPr>
            <w:r>
              <w:rPr>
                <w:sz w:val="20"/>
              </w:rPr>
              <w:t>5</w:t>
            </w:r>
          </w:p>
        </w:tc>
        <w:tc>
          <w:tcPr>
            <w:tcW w:w="619" w:type="dxa"/>
            <w:shd w:val="clear" w:color="auto" w:fill="E7E6E6"/>
            <w:vAlign w:val="center"/>
          </w:tcPr>
          <w:p w14:paraId="7CD07262" w14:textId="2FA8407E" w:rsidR="003D1417" w:rsidRDefault="003D1417" w:rsidP="00281E75">
            <w:pPr>
              <w:pStyle w:val="TableParagraph"/>
              <w:spacing w:line="243" w:lineRule="exact"/>
              <w:ind w:left="35"/>
              <w:jc w:val="center"/>
              <w:rPr>
                <w:sz w:val="20"/>
              </w:rPr>
            </w:pPr>
            <w:r>
              <w:rPr>
                <w:sz w:val="20"/>
              </w:rPr>
              <w:t>38.5</w:t>
            </w:r>
          </w:p>
        </w:tc>
        <w:tc>
          <w:tcPr>
            <w:tcW w:w="617" w:type="dxa"/>
            <w:shd w:val="clear" w:color="auto" w:fill="E7E6E6"/>
            <w:vAlign w:val="center"/>
          </w:tcPr>
          <w:p w14:paraId="63C10BCA" w14:textId="64BEF218" w:rsidR="003D1417" w:rsidRDefault="003D1417" w:rsidP="00281E75">
            <w:pPr>
              <w:pStyle w:val="TableParagraph"/>
              <w:spacing w:line="243" w:lineRule="exact"/>
              <w:jc w:val="center"/>
              <w:rPr>
                <w:sz w:val="20"/>
              </w:rPr>
            </w:pPr>
            <w:r>
              <w:rPr>
                <w:sz w:val="20"/>
              </w:rPr>
              <w:t>8</w:t>
            </w:r>
          </w:p>
        </w:tc>
        <w:tc>
          <w:tcPr>
            <w:tcW w:w="619" w:type="dxa"/>
            <w:shd w:val="clear" w:color="auto" w:fill="E7E6E6"/>
            <w:vAlign w:val="center"/>
          </w:tcPr>
          <w:p w14:paraId="7FEE3DB0" w14:textId="1DC9A48E" w:rsidR="003D1417" w:rsidRDefault="003D1417" w:rsidP="00281E75">
            <w:pPr>
              <w:pStyle w:val="TableParagraph"/>
              <w:spacing w:line="243" w:lineRule="exact"/>
              <w:jc w:val="center"/>
              <w:rPr>
                <w:sz w:val="20"/>
              </w:rPr>
            </w:pPr>
            <w:r>
              <w:rPr>
                <w:sz w:val="20"/>
              </w:rPr>
              <w:t>61.5</w:t>
            </w:r>
          </w:p>
        </w:tc>
        <w:tc>
          <w:tcPr>
            <w:tcW w:w="517" w:type="dxa"/>
            <w:shd w:val="clear" w:color="auto" w:fill="E7E6E6"/>
            <w:vAlign w:val="center"/>
          </w:tcPr>
          <w:p w14:paraId="71C18C0F" w14:textId="62B17842" w:rsidR="003D1417" w:rsidRDefault="003D1417" w:rsidP="00281E75">
            <w:pPr>
              <w:pStyle w:val="TableParagraph"/>
              <w:spacing w:line="243" w:lineRule="exact"/>
              <w:jc w:val="center"/>
              <w:rPr>
                <w:sz w:val="20"/>
              </w:rPr>
            </w:pPr>
            <w:r>
              <w:rPr>
                <w:sz w:val="20"/>
              </w:rPr>
              <w:t>7</w:t>
            </w:r>
          </w:p>
        </w:tc>
        <w:tc>
          <w:tcPr>
            <w:tcW w:w="567" w:type="dxa"/>
            <w:shd w:val="clear" w:color="auto" w:fill="E7E6E6"/>
            <w:vAlign w:val="center"/>
          </w:tcPr>
          <w:p w14:paraId="292716DC" w14:textId="58BFE20C" w:rsidR="003D1417" w:rsidRDefault="003D1417" w:rsidP="00281E75">
            <w:pPr>
              <w:pStyle w:val="TableParagraph"/>
              <w:spacing w:line="243" w:lineRule="exact"/>
              <w:jc w:val="center"/>
              <w:rPr>
                <w:sz w:val="20"/>
              </w:rPr>
            </w:pPr>
            <w:r>
              <w:rPr>
                <w:sz w:val="20"/>
              </w:rPr>
              <w:t>53.8</w:t>
            </w:r>
          </w:p>
        </w:tc>
      </w:tr>
      <w:tr w:rsidR="003D1417" w14:paraId="7AC139C3" w14:textId="77777777" w:rsidTr="00527FA9">
        <w:trPr>
          <w:trHeight w:val="264"/>
          <w:jc w:val="center"/>
        </w:trPr>
        <w:tc>
          <w:tcPr>
            <w:tcW w:w="1717" w:type="dxa"/>
            <w:vMerge/>
            <w:shd w:val="clear" w:color="auto" w:fill="E7E6E6"/>
            <w:vAlign w:val="center"/>
          </w:tcPr>
          <w:p w14:paraId="3E65A109" w14:textId="77777777" w:rsidR="003D1417" w:rsidRDefault="003D1417" w:rsidP="003F49EF">
            <w:pPr>
              <w:pStyle w:val="TableParagraph"/>
              <w:spacing w:line="243" w:lineRule="exact"/>
              <w:ind w:left="122"/>
              <w:jc w:val="center"/>
              <w:rPr>
                <w:sz w:val="20"/>
              </w:rPr>
            </w:pPr>
          </w:p>
        </w:tc>
        <w:tc>
          <w:tcPr>
            <w:tcW w:w="2169" w:type="dxa"/>
            <w:vMerge w:val="restart"/>
            <w:shd w:val="clear" w:color="auto" w:fill="E7E6E6"/>
            <w:vAlign w:val="center"/>
          </w:tcPr>
          <w:p w14:paraId="5BDF9C53" w14:textId="6B1073E4" w:rsidR="003D1417" w:rsidRDefault="003D1417" w:rsidP="003F49EF">
            <w:pPr>
              <w:pStyle w:val="TableParagraph"/>
              <w:spacing w:line="243" w:lineRule="exact"/>
              <w:rPr>
                <w:sz w:val="20"/>
              </w:rPr>
            </w:pPr>
            <w:r>
              <w:rPr>
                <w:sz w:val="20"/>
              </w:rPr>
              <w:t>Comparability</w:t>
            </w:r>
          </w:p>
        </w:tc>
        <w:tc>
          <w:tcPr>
            <w:tcW w:w="838" w:type="dxa"/>
            <w:shd w:val="clear" w:color="auto" w:fill="E7E6E6"/>
          </w:tcPr>
          <w:p w14:paraId="4E75972F" w14:textId="637628EF" w:rsidR="003D1417" w:rsidRDefault="00724980" w:rsidP="00281E75">
            <w:pPr>
              <w:pStyle w:val="TableParagraph"/>
              <w:spacing w:line="243" w:lineRule="exact"/>
              <w:jc w:val="center"/>
              <w:rPr>
                <w:sz w:val="20"/>
              </w:rPr>
            </w:pPr>
            <w:r>
              <w:rPr>
                <w:sz w:val="20"/>
              </w:rPr>
              <w:t>C1</w:t>
            </w:r>
          </w:p>
        </w:tc>
        <w:tc>
          <w:tcPr>
            <w:tcW w:w="1015" w:type="dxa"/>
            <w:shd w:val="clear" w:color="auto" w:fill="E7E6E6"/>
            <w:vAlign w:val="center"/>
          </w:tcPr>
          <w:p w14:paraId="2C7D15FD" w14:textId="5FDD78F1" w:rsidR="003D1417" w:rsidRDefault="003D1417" w:rsidP="00281E75">
            <w:pPr>
              <w:pStyle w:val="TableParagraph"/>
              <w:spacing w:line="243" w:lineRule="exact"/>
              <w:jc w:val="center"/>
              <w:rPr>
                <w:sz w:val="20"/>
              </w:rPr>
            </w:pPr>
            <w:r>
              <w:rPr>
                <w:sz w:val="20"/>
              </w:rPr>
              <w:t>6</w:t>
            </w:r>
          </w:p>
        </w:tc>
        <w:tc>
          <w:tcPr>
            <w:tcW w:w="619" w:type="dxa"/>
            <w:shd w:val="clear" w:color="auto" w:fill="E7E6E6"/>
            <w:vAlign w:val="center"/>
          </w:tcPr>
          <w:p w14:paraId="55C14BB9" w14:textId="301AB0C5" w:rsidR="003D1417" w:rsidRDefault="003D1417" w:rsidP="00281E75">
            <w:pPr>
              <w:pStyle w:val="TableParagraph"/>
              <w:spacing w:line="243" w:lineRule="exact"/>
              <w:ind w:right="18"/>
              <w:jc w:val="center"/>
              <w:rPr>
                <w:sz w:val="20"/>
              </w:rPr>
            </w:pPr>
            <w:r>
              <w:rPr>
                <w:sz w:val="20"/>
              </w:rPr>
              <w:t>46.2</w:t>
            </w:r>
          </w:p>
        </w:tc>
        <w:tc>
          <w:tcPr>
            <w:tcW w:w="617" w:type="dxa"/>
            <w:shd w:val="clear" w:color="auto" w:fill="E7E6E6"/>
            <w:vAlign w:val="center"/>
          </w:tcPr>
          <w:p w14:paraId="7382D69D" w14:textId="59AF22DF" w:rsidR="003D1417" w:rsidRDefault="003D1417" w:rsidP="00281E75">
            <w:pPr>
              <w:pStyle w:val="TableParagraph"/>
              <w:spacing w:line="243" w:lineRule="exact"/>
              <w:jc w:val="center"/>
              <w:rPr>
                <w:sz w:val="20"/>
              </w:rPr>
            </w:pPr>
            <w:r>
              <w:rPr>
                <w:sz w:val="20"/>
              </w:rPr>
              <w:t>5</w:t>
            </w:r>
          </w:p>
        </w:tc>
        <w:tc>
          <w:tcPr>
            <w:tcW w:w="619" w:type="dxa"/>
            <w:shd w:val="clear" w:color="auto" w:fill="E7E6E6"/>
            <w:vAlign w:val="center"/>
          </w:tcPr>
          <w:p w14:paraId="7D704024" w14:textId="03E352AF" w:rsidR="003D1417" w:rsidRDefault="003D1417" w:rsidP="00281E75">
            <w:pPr>
              <w:pStyle w:val="TableParagraph"/>
              <w:spacing w:line="243" w:lineRule="exact"/>
              <w:jc w:val="center"/>
              <w:rPr>
                <w:sz w:val="20"/>
              </w:rPr>
            </w:pPr>
            <w:r>
              <w:rPr>
                <w:sz w:val="20"/>
              </w:rPr>
              <w:t>38.5</w:t>
            </w:r>
          </w:p>
        </w:tc>
        <w:tc>
          <w:tcPr>
            <w:tcW w:w="517" w:type="dxa"/>
            <w:shd w:val="clear" w:color="auto" w:fill="E7E6E6"/>
            <w:vAlign w:val="center"/>
          </w:tcPr>
          <w:p w14:paraId="56598FB3" w14:textId="6E1AA8F0" w:rsidR="003D1417" w:rsidRDefault="003D1417" w:rsidP="00281E75">
            <w:pPr>
              <w:pStyle w:val="TableParagraph"/>
              <w:spacing w:line="243" w:lineRule="exact"/>
              <w:jc w:val="center"/>
              <w:rPr>
                <w:sz w:val="20"/>
              </w:rPr>
            </w:pPr>
            <w:r>
              <w:rPr>
                <w:sz w:val="20"/>
              </w:rPr>
              <w:t>5</w:t>
            </w:r>
          </w:p>
        </w:tc>
        <w:tc>
          <w:tcPr>
            <w:tcW w:w="567" w:type="dxa"/>
            <w:shd w:val="clear" w:color="auto" w:fill="E7E6E6"/>
            <w:vAlign w:val="center"/>
          </w:tcPr>
          <w:p w14:paraId="44EAB226" w14:textId="04B05C3D" w:rsidR="003D1417" w:rsidRDefault="003D1417" w:rsidP="00281E75">
            <w:pPr>
              <w:pStyle w:val="TableParagraph"/>
              <w:spacing w:line="243" w:lineRule="exact"/>
              <w:jc w:val="center"/>
              <w:rPr>
                <w:sz w:val="20"/>
              </w:rPr>
            </w:pPr>
            <w:r>
              <w:rPr>
                <w:sz w:val="20"/>
              </w:rPr>
              <w:t>38.5</w:t>
            </w:r>
          </w:p>
        </w:tc>
      </w:tr>
      <w:tr w:rsidR="003D1417" w14:paraId="502B6E55" w14:textId="77777777" w:rsidTr="00527FA9">
        <w:trPr>
          <w:trHeight w:val="264"/>
          <w:jc w:val="center"/>
        </w:trPr>
        <w:tc>
          <w:tcPr>
            <w:tcW w:w="1717" w:type="dxa"/>
            <w:vMerge/>
            <w:shd w:val="clear" w:color="auto" w:fill="E7E6E6"/>
            <w:vAlign w:val="center"/>
          </w:tcPr>
          <w:p w14:paraId="4E362DD3" w14:textId="77777777" w:rsidR="003D1417" w:rsidRDefault="003D1417" w:rsidP="003F49EF">
            <w:pPr>
              <w:pStyle w:val="TableParagraph"/>
              <w:spacing w:line="243" w:lineRule="exact"/>
              <w:ind w:left="122"/>
              <w:jc w:val="center"/>
              <w:rPr>
                <w:sz w:val="20"/>
              </w:rPr>
            </w:pPr>
          </w:p>
        </w:tc>
        <w:tc>
          <w:tcPr>
            <w:tcW w:w="2169" w:type="dxa"/>
            <w:vMerge/>
            <w:shd w:val="clear" w:color="auto" w:fill="E7E6E6"/>
            <w:vAlign w:val="center"/>
          </w:tcPr>
          <w:p w14:paraId="0F88D8EA" w14:textId="77777777" w:rsidR="003D1417" w:rsidRDefault="003D1417" w:rsidP="003F49EF">
            <w:pPr>
              <w:pStyle w:val="TableParagraph"/>
              <w:spacing w:line="243" w:lineRule="exact"/>
              <w:rPr>
                <w:sz w:val="20"/>
              </w:rPr>
            </w:pPr>
          </w:p>
        </w:tc>
        <w:tc>
          <w:tcPr>
            <w:tcW w:w="838" w:type="dxa"/>
            <w:shd w:val="clear" w:color="auto" w:fill="E7E6E6"/>
          </w:tcPr>
          <w:p w14:paraId="7735FB04" w14:textId="62182183" w:rsidR="003D1417" w:rsidRDefault="00724980" w:rsidP="00281E75">
            <w:pPr>
              <w:pStyle w:val="TableParagraph"/>
              <w:spacing w:line="243" w:lineRule="exact"/>
              <w:jc w:val="center"/>
              <w:rPr>
                <w:sz w:val="20"/>
              </w:rPr>
            </w:pPr>
            <w:r>
              <w:rPr>
                <w:sz w:val="20"/>
              </w:rPr>
              <w:t>C2</w:t>
            </w:r>
          </w:p>
        </w:tc>
        <w:tc>
          <w:tcPr>
            <w:tcW w:w="1015" w:type="dxa"/>
            <w:shd w:val="clear" w:color="auto" w:fill="E7E6E6"/>
            <w:vAlign w:val="center"/>
          </w:tcPr>
          <w:p w14:paraId="0FF633A5" w14:textId="1035B38E" w:rsidR="003D1417" w:rsidRDefault="003D1417" w:rsidP="00281E75">
            <w:pPr>
              <w:pStyle w:val="TableParagraph"/>
              <w:spacing w:line="243" w:lineRule="exact"/>
              <w:jc w:val="center"/>
              <w:rPr>
                <w:sz w:val="20"/>
              </w:rPr>
            </w:pPr>
            <w:r>
              <w:rPr>
                <w:sz w:val="20"/>
              </w:rPr>
              <w:t>5</w:t>
            </w:r>
          </w:p>
        </w:tc>
        <w:tc>
          <w:tcPr>
            <w:tcW w:w="619" w:type="dxa"/>
            <w:shd w:val="clear" w:color="auto" w:fill="E7E6E6"/>
            <w:vAlign w:val="center"/>
          </w:tcPr>
          <w:p w14:paraId="732801FA" w14:textId="5A62A65F" w:rsidR="003D1417" w:rsidRDefault="003D1417" w:rsidP="00281E75">
            <w:pPr>
              <w:pStyle w:val="TableParagraph"/>
              <w:spacing w:line="243" w:lineRule="exact"/>
              <w:ind w:right="18"/>
              <w:jc w:val="center"/>
              <w:rPr>
                <w:sz w:val="20"/>
              </w:rPr>
            </w:pPr>
            <w:r>
              <w:rPr>
                <w:sz w:val="20"/>
              </w:rPr>
              <w:t>38.5</w:t>
            </w:r>
          </w:p>
        </w:tc>
        <w:tc>
          <w:tcPr>
            <w:tcW w:w="617" w:type="dxa"/>
            <w:shd w:val="clear" w:color="auto" w:fill="E7E6E6"/>
            <w:vAlign w:val="center"/>
          </w:tcPr>
          <w:p w14:paraId="60E0C722" w14:textId="75D685B5" w:rsidR="003D1417" w:rsidRDefault="003D1417" w:rsidP="00281E75">
            <w:pPr>
              <w:pStyle w:val="TableParagraph"/>
              <w:spacing w:line="243" w:lineRule="exact"/>
              <w:jc w:val="center"/>
              <w:rPr>
                <w:sz w:val="20"/>
              </w:rPr>
            </w:pPr>
            <w:r>
              <w:rPr>
                <w:sz w:val="20"/>
              </w:rPr>
              <w:t>4</w:t>
            </w:r>
          </w:p>
        </w:tc>
        <w:tc>
          <w:tcPr>
            <w:tcW w:w="619" w:type="dxa"/>
            <w:shd w:val="clear" w:color="auto" w:fill="E7E6E6"/>
            <w:vAlign w:val="center"/>
          </w:tcPr>
          <w:p w14:paraId="2A44522C" w14:textId="47E675C4" w:rsidR="003D1417" w:rsidRDefault="003D1417" w:rsidP="00281E75">
            <w:pPr>
              <w:pStyle w:val="TableParagraph"/>
              <w:spacing w:line="243" w:lineRule="exact"/>
              <w:jc w:val="center"/>
              <w:rPr>
                <w:sz w:val="20"/>
              </w:rPr>
            </w:pPr>
            <w:r>
              <w:rPr>
                <w:sz w:val="20"/>
              </w:rPr>
              <w:t>30.8</w:t>
            </w:r>
          </w:p>
        </w:tc>
        <w:tc>
          <w:tcPr>
            <w:tcW w:w="517" w:type="dxa"/>
            <w:shd w:val="clear" w:color="auto" w:fill="E7E6E6"/>
            <w:vAlign w:val="center"/>
          </w:tcPr>
          <w:p w14:paraId="1A112E44" w14:textId="6A271D02" w:rsidR="003D1417" w:rsidRDefault="003D1417" w:rsidP="00281E75">
            <w:pPr>
              <w:pStyle w:val="TableParagraph"/>
              <w:spacing w:line="243" w:lineRule="exact"/>
              <w:jc w:val="center"/>
              <w:rPr>
                <w:sz w:val="20"/>
              </w:rPr>
            </w:pPr>
            <w:r>
              <w:rPr>
                <w:sz w:val="20"/>
              </w:rPr>
              <w:t>4</w:t>
            </w:r>
          </w:p>
        </w:tc>
        <w:tc>
          <w:tcPr>
            <w:tcW w:w="567" w:type="dxa"/>
            <w:shd w:val="clear" w:color="auto" w:fill="E7E6E6"/>
            <w:vAlign w:val="center"/>
          </w:tcPr>
          <w:p w14:paraId="202896BC" w14:textId="49C9004A" w:rsidR="003D1417" w:rsidRDefault="003D1417" w:rsidP="00281E75">
            <w:pPr>
              <w:pStyle w:val="TableParagraph"/>
              <w:spacing w:line="243" w:lineRule="exact"/>
              <w:jc w:val="center"/>
              <w:rPr>
                <w:sz w:val="20"/>
              </w:rPr>
            </w:pPr>
            <w:r>
              <w:rPr>
                <w:sz w:val="20"/>
              </w:rPr>
              <w:t>30.8</w:t>
            </w:r>
          </w:p>
        </w:tc>
      </w:tr>
    </w:tbl>
    <w:p w14:paraId="4DD25B63" w14:textId="0BD851E3" w:rsidR="004F01DD" w:rsidRDefault="004F01DD" w:rsidP="004F01DD">
      <w:pPr>
        <w:pStyle w:val="BodyText"/>
        <w:spacing w:before="1"/>
        <w:rPr>
          <w:b/>
          <w:sz w:val="25"/>
        </w:rPr>
      </w:pPr>
    </w:p>
    <w:p w14:paraId="16970280" w14:textId="5EC0A961" w:rsidR="007B5DBB" w:rsidRDefault="007B5DBB" w:rsidP="007B5DBB">
      <w:pPr>
        <w:pStyle w:val="BodyText"/>
        <w:spacing w:line="276" w:lineRule="auto"/>
        <w:ind w:left="277" w:right="132" w:firstLine="566"/>
        <w:jc w:val="both"/>
      </w:pPr>
      <w:proofErr w:type="spellStart"/>
      <w:r>
        <w:t>Analisis</w:t>
      </w:r>
      <w:proofErr w:type="spellEnd"/>
      <w:r>
        <w:t xml:space="preserve"> </w:t>
      </w:r>
      <w:proofErr w:type="spellStart"/>
      <w:r>
        <w:t>deskriptif</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menggunakan</w:t>
      </w:r>
      <w:proofErr w:type="spellEnd"/>
      <w:r>
        <w:t xml:space="preserve"> </w:t>
      </w:r>
      <w:proofErr w:type="spellStart"/>
      <w:r>
        <w:t>distribusi</w:t>
      </w:r>
      <w:proofErr w:type="spellEnd"/>
      <w:r>
        <w:t xml:space="preserve"> </w:t>
      </w:r>
      <w:proofErr w:type="spellStart"/>
      <w:r>
        <w:t>frekuensi</w:t>
      </w:r>
      <w:proofErr w:type="spellEnd"/>
      <w:r>
        <w:t xml:space="preserve"> yang </w:t>
      </w:r>
      <w:proofErr w:type="spellStart"/>
      <w:r>
        <w:t>ditunjukkan</w:t>
      </w:r>
      <w:proofErr w:type="spellEnd"/>
      <w:r>
        <w:t xml:space="preserve"> pada </w:t>
      </w:r>
      <w:proofErr w:type="spellStart"/>
      <w:r>
        <w:t>tabel</w:t>
      </w:r>
      <w:proofErr w:type="spellEnd"/>
      <w:r>
        <w:t xml:space="preserve"> 3. </w:t>
      </w:r>
      <w:proofErr w:type="spellStart"/>
      <w:r>
        <w:t>Hasilnya</w:t>
      </w:r>
      <w:proofErr w:type="spellEnd"/>
      <w:r>
        <w:t xml:space="preserve"> </w:t>
      </w:r>
      <w:proofErr w:type="spellStart"/>
      <w:r>
        <w:t>menunjukkan</w:t>
      </w:r>
      <w:proofErr w:type="spellEnd"/>
      <w:r>
        <w:t xml:space="preserve"> </w:t>
      </w:r>
      <w:proofErr w:type="spellStart"/>
      <w:r>
        <w:t>bahwa</w:t>
      </w:r>
      <w:proofErr w:type="spellEnd"/>
      <w:r>
        <w:t xml:space="preserve"> pada </w:t>
      </w:r>
      <w:proofErr w:type="spellStart"/>
      <w:r>
        <w:t>dimensi</w:t>
      </w:r>
      <w:proofErr w:type="spellEnd"/>
      <w:r>
        <w:t xml:space="preserve"> </w:t>
      </w:r>
      <w:proofErr w:type="spellStart"/>
      <w:r>
        <w:t>relevansi</w:t>
      </w:r>
      <w:proofErr w:type="spellEnd"/>
      <w:r>
        <w:t xml:space="preserve"> </w:t>
      </w:r>
      <w:proofErr w:type="spellStart"/>
      <w:r>
        <w:t>pengungkapan</w:t>
      </w:r>
      <w:proofErr w:type="spellEnd"/>
      <w:r>
        <w:t xml:space="preserve"> </w:t>
      </w:r>
      <w:proofErr w:type="spellStart"/>
      <w:r>
        <w:t>informasi</w:t>
      </w:r>
      <w:proofErr w:type="spellEnd"/>
      <w:r>
        <w:t xml:space="preserve"> CSR </w:t>
      </w:r>
      <w:proofErr w:type="spellStart"/>
      <w:r>
        <w:t>dalam</w:t>
      </w:r>
      <w:proofErr w:type="spellEnd"/>
      <w:r>
        <w:t xml:space="preserve"> </w:t>
      </w:r>
      <w:proofErr w:type="spellStart"/>
      <w:r>
        <w:t>laporan</w:t>
      </w:r>
      <w:proofErr w:type="spellEnd"/>
      <w:r>
        <w:t xml:space="preserve"> </w:t>
      </w:r>
      <w:proofErr w:type="spellStart"/>
      <w:r>
        <w:t>keberlanjutan</w:t>
      </w:r>
      <w:proofErr w:type="spellEnd"/>
      <w:r>
        <w:t xml:space="preserve"> </w:t>
      </w:r>
      <w:proofErr w:type="spellStart"/>
      <w:r>
        <w:t>mereka</w:t>
      </w:r>
      <w:proofErr w:type="spellEnd"/>
      <w:r>
        <w:t xml:space="preserve"> </w:t>
      </w:r>
      <w:proofErr w:type="spellStart"/>
      <w:r>
        <w:t>terbatas</w:t>
      </w:r>
      <w:proofErr w:type="spellEnd"/>
      <w:r>
        <w:t xml:space="preserve"> (paragraph boilerplate) dan </w:t>
      </w:r>
      <w:proofErr w:type="spellStart"/>
      <w:r>
        <w:t>cenderung</w:t>
      </w:r>
      <w:proofErr w:type="spellEnd"/>
      <w:r>
        <w:t xml:space="preserve"> </w:t>
      </w:r>
      <w:proofErr w:type="spellStart"/>
      <w:r>
        <w:t>berfokus</w:t>
      </w:r>
      <w:proofErr w:type="spellEnd"/>
      <w:r>
        <w:t xml:space="preserve"> pada </w:t>
      </w:r>
      <w:proofErr w:type="spellStart"/>
      <w:r>
        <w:t>pengungkapan</w:t>
      </w:r>
      <w:proofErr w:type="spellEnd"/>
      <w:r>
        <w:t xml:space="preserve"> </w:t>
      </w:r>
      <w:proofErr w:type="spellStart"/>
      <w:r>
        <w:t>informasi</w:t>
      </w:r>
      <w:proofErr w:type="spellEnd"/>
      <w:r>
        <w:t xml:space="preserve"> non-</w:t>
      </w:r>
      <w:proofErr w:type="spellStart"/>
      <w:r>
        <w:t>keuangan</w:t>
      </w:r>
      <w:proofErr w:type="spellEnd"/>
      <w:r>
        <w:t xml:space="preserve">. Pada </w:t>
      </w:r>
      <w:proofErr w:type="spellStart"/>
      <w:r>
        <w:t>dimensi</w:t>
      </w:r>
      <w:proofErr w:type="spellEnd"/>
      <w:r>
        <w:t xml:space="preserve"> </w:t>
      </w:r>
      <w:proofErr w:type="spellStart"/>
      <w:r>
        <w:t>faithfull</w:t>
      </w:r>
      <w:proofErr w:type="spellEnd"/>
      <w:r>
        <w:t xml:space="preserve"> representation, </w:t>
      </w:r>
      <w:proofErr w:type="spellStart"/>
      <w:r>
        <w:t>perusahaan</w:t>
      </w:r>
      <w:proofErr w:type="spellEnd"/>
      <w:r>
        <w:t xml:space="preserve"> </w:t>
      </w:r>
      <w:proofErr w:type="spellStart"/>
      <w:r>
        <w:t>cenderung</w:t>
      </w:r>
      <w:proofErr w:type="spellEnd"/>
      <w:r>
        <w:t xml:space="preserve"> </w:t>
      </w:r>
      <w:proofErr w:type="spellStart"/>
      <w:r>
        <w:t>menekankan</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operasionalnya</w:t>
      </w:r>
      <w:proofErr w:type="spellEnd"/>
      <w:r>
        <w:t xml:space="preserve">. </w:t>
      </w:r>
      <w:proofErr w:type="spellStart"/>
      <w:r>
        <w:t>Dimensi</w:t>
      </w:r>
      <w:proofErr w:type="spellEnd"/>
      <w:r>
        <w:t xml:space="preserve"> Understandability, </w:t>
      </w:r>
      <w:proofErr w:type="spellStart"/>
      <w:r>
        <w:t>informasi</w:t>
      </w:r>
      <w:proofErr w:type="spellEnd"/>
      <w:r>
        <w:t xml:space="preserve"> CSR yang </w:t>
      </w:r>
      <w:proofErr w:type="spellStart"/>
      <w:r>
        <w:t>diungkapkan</w:t>
      </w:r>
      <w:proofErr w:type="spellEnd"/>
      <w:r>
        <w:t xml:space="preserve"> </w:t>
      </w:r>
      <w:proofErr w:type="spellStart"/>
      <w:r>
        <w:t>perusahaan</w:t>
      </w:r>
      <w:proofErr w:type="spellEnd"/>
      <w:r>
        <w:t xml:space="preserve"> </w:t>
      </w:r>
      <w:proofErr w:type="spellStart"/>
      <w:r>
        <w:t>teroganisir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didukung</w:t>
      </w:r>
      <w:proofErr w:type="spellEnd"/>
      <w:r>
        <w:t xml:space="preserve"> </w:t>
      </w:r>
      <w:proofErr w:type="spellStart"/>
      <w:r>
        <w:t>dengan</w:t>
      </w:r>
      <w:proofErr w:type="spellEnd"/>
      <w:r>
        <w:t xml:space="preserve"> </w:t>
      </w:r>
      <w:proofErr w:type="spellStart"/>
      <w:r>
        <w:t>grafik</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informasi</w:t>
      </w:r>
      <w:proofErr w:type="spellEnd"/>
      <w:r>
        <w:t xml:space="preserve"> </w:t>
      </w:r>
      <w:proofErr w:type="spellStart"/>
      <w:r>
        <w:t>tersebut</w:t>
      </w:r>
      <w:proofErr w:type="spellEnd"/>
      <w:r>
        <w:t xml:space="preserve">. Dan yang </w:t>
      </w:r>
      <w:proofErr w:type="spellStart"/>
      <w:r>
        <w:t>terakhir</w:t>
      </w:r>
      <w:proofErr w:type="spellEnd"/>
      <w:r>
        <w:t xml:space="preserve">, </w:t>
      </w:r>
      <w:proofErr w:type="spellStart"/>
      <w:r>
        <w:t>dimensi</w:t>
      </w:r>
      <w:proofErr w:type="spellEnd"/>
      <w:r>
        <w:t xml:space="preserve"> </w:t>
      </w:r>
      <w:proofErr w:type="spellStart"/>
      <w:r>
        <w:t>Comaprability</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informasi</w:t>
      </w:r>
      <w:proofErr w:type="spellEnd"/>
      <w:r>
        <w:t xml:space="preserve"> CSR yang </w:t>
      </w:r>
      <w:proofErr w:type="spellStart"/>
      <w:r>
        <w:t>diungkapkan</w:t>
      </w:r>
      <w:proofErr w:type="spellEnd"/>
      <w:r>
        <w:t xml:space="preserve"> </w:t>
      </w:r>
      <w:proofErr w:type="spellStart"/>
      <w:r>
        <w:t>perusahaan</w:t>
      </w:r>
      <w:proofErr w:type="spellEnd"/>
      <w:r>
        <w:t xml:space="preserve"> </w:t>
      </w:r>
      <w:proofErr w:type="spellStart"/>
      <w:r>
        <w:t>mengalami</w:t>
      </w:r>
      <w:proofErr w:type="spellEnd"/>
      <w:r>
        <w:t xml:space="preserve"> </w:t>
      </w:r>
      <w:proofErr w:type="spellStart"/>
      <w:r>
        <w:t>peningkatan</w:t>
      </w:r>
      <w:proofErr w:type="spellEnd"/>
      <w:r>
        <w:t xml:space="preserve"> dan </w:t>
      </w:r>
      <w:proofErr w:type="spellStart"/>
      <w:r>
        <w:t>dapat</w:t>
      </w:r>
      <w:proofErr w:type="spellEnd"/>
      <w:r>
        <w:t xml:space="preserve"> </w:t>
      </w:r>
      <w:proofErr w:type="spellStart"/>
      <w:r>
        <w:t>dibandingkan</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w:t>
      </w:r>
      <w:proofErr w:type="spellStart"/>
      <w:r>
        <w:t>serta</w:t>
      </w:r>
      <w:proofErr w:type="spellEnd"/>
      <w:r>
        <w:t xml:space="preserve"> </w:t>
      </w:r>
      <w:proofErr w:type="spellStart"/>
      <w:r>
        <w:t>menyajikan</w:t>
      </w:r>
      <w:proofErr w:type="spellEnd"/>
      <w:r>
        <w:t xml:space="preserve"> </w:t>
      </w:r>
      <w:proofErr w:type="spellStart"/>
      <w:r>
        <w:t>informasi</w:t>
      </w:r>
      <w:proofErr w:type="spellEnd"/>
      <w:r>
        <w:t xml:space="preserve"> </w:t>
      </w:r>
      <w:proofErr w:type="spellStart"/>
      <w:r>
        <w:t>keuangan</w:t>
      </w:r>
      <w:proofErr w:type="spellEnd"/>
      <w:r>
        <w:t xml:space="preserve"> dan non </w:t>
      </w:r>
      <w:proofErr w:type="spellStart"/>
      <w:r>
        <w:t>keuangan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rasio</w:t>
      </w:r>
      <w:proofErr w:type="spellEnd"/>
      <w:r>
        <w:t xml:space="preserve"> </w:t>
      </w:r>
      <w:proofErr w:type="spellStart"/>
      <w:r>
        <w:t>dalam</w:t>
      </w:r>
      <w:proofErr w:type="spellEnd"/>
      <w:r>
        <w:t xml:space="preserve"> </w:t>
      </w:r>
      <w:proofErr w:type="spellStart"/>
      <w:r>
        <w:t>laporan</w:t>
      </w:r>
      <w:proofErr w:type="spellEnd"/>
      <w:r>
        <w:t xml:space="preserve"> </w:t>
      </w:r>
      <w:proofErr w:type="spellStart"/>
      <w:r>
        <w:t>keberlanjutan</w:t>
      </w:r>
      <w:proofErr w:type="spellEnd"/>
      <w:r>
        <w:t xml:space="preserve"> </w:t>
      </w:r>
      <w:proofErr w:type="spellStart"/>
      <w:r>
        <w:t>mereka</w:t>
      </w:r>
      <w:proofErr w:type="spellEnd"/>
      <w:r>
        <w:t>.</w:t>
      </w:r>
    </w:p>
    <w:p w14:paraId="40D80D0F" w14:textId="56FCBA79" w:rsidR="008A25A0" w:rsidRDefault="00E25DAB" w:rsidP="008A25A0">
      <w:pPr>
        <w:pStyle w:val="BodyText"/>
        <w:spacing w:line="276" w:lineRule="auto"/>
        <w:ind w:left="277" w:right="132" w:firstLine="566"/>
        <w:jc w:val="both"/>
      </w:pPr>
      <w:proofErr w:type="spellStart"/>
      <w:r>
        <w:t>Merujuk</w:t>
      </w:r>
      <w:proofErr w:type="spellEnd"/>
      <w:r>
        <w:t xml:space="preserve"> pada </w:t>
      </w:r>
      <w:proofErr w:type="spellStart"/>
      <w:r>
        <w:t>teori</w:t>
      </w:r>
      <w:proofErr w:type="spellEnd"/>
      <w:r>
        <w:t xml:space="preserve"> </w:t>
      </w:r>
      <w:proofErr w:type="spellStart"/>
      <w:r>
        <w:t>legitimasi</w:t>
      </w:r>
      <w:proofErr w:type="spellEnd"/>
      <w:r>
        <w:t xml:space="preserve"> dan </w:t>
      </w:r>
      <w:proofErr w:type="spellStart"/>
      <w:r>
        <w:t>teori</w:t>
      </w:r>
      <w:proofErr w:type="spellEnd"/>
      <w:r>
        <w:t xml:space="preserve"> stakeholder </w:t>
      </w:r>
      <w:proofErr w:type="spellStart"/>
      <w:r>
        <w:t>menyatakan</w:t>
      </w:r>
      <w:proofErr w:type="spellEnd"/>
      <w:r>
        <w:t xml:space="preserve"> </w:t>
      </w:r>
      <w:proofErr w:type="spellStart"/>
      <w:r>
        <w:t>bahwa</w:t>
      </w:r>
      <w:proofErr w:type="spellEnd"/>
      <w:r>
        <w:t xml:space="preserve"> CSRD </w:t>
      </w:r>
      <w:proofErr w:type="spellStart"/>
      <w:r>
        <w:t>digunakan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repuatsi</w:t>
      </w:r>
      <w:proofErr w:type="spellEnd"/>
      <w:r>
        <w:t xml:space="preserve"> </w:t>
      </w:r>
      <w:proofErr w:type="spellStart"/>
      <w:r>
        <w:t>perusahaan</w:t>
      </w:r>
      <w:proofErr w:type="spellEnd"/>
      <w:r>
        <w:t xml:space="preserve"> dan </w:t>
      </w:r>
      <w:proofErr w:type="spellStart"/>
      <w:r>
        <w:t>identitas</w:t>
      </w:r>
      <w:proofErr w:type="spellEnd"/>
      <w:r>
        <w:t xml:space="preserve"> </w:t>
      </w:r>
      <w:proofErr w:type="spellStart"/>
      <w:r>
        <w:t>perusahaan</w:t>
      </w:r>
      <w:proofErr w:type="spellEnd"/>
      <w:r>
        <w:t xml:space="preserve"> </w:t>
      </w:r>
      <w:r w:rsidR="00BC730B">
        <w:fldChar w:fldCharType="begin" w:fldLock="1"/>
      </w:r>
      <w:r w:rsidR="00BC730B">
        <w:instrText>ADDIN CSL_CITATION {"citationItems":[{"id":"ITEM-1","itemData":{"abstract":"Purpose Supported by the principles of the legitimacy theory, the purpose of this paper is to explore the relationship that exists between the information quality of the corporate social responsibility (CSR) reporting provided by the most liquid companies operating in the Spanish Stock Market and their corporate reputation. Design/methodology/approach Three regression models are tested with panel data collected for a sample of the 35 most liquid companies operating in the Spanish Stock Market between 2004 and 2014. Findings The findings show that two axes of information quality (i.e. content and management systems) should be necessarily controlled by companies in order to improve their corporate reputation through their CSR reporting. The content axis refers to the compliance of CSR reports with the provision of qualitative, quantitative, and evaluative information concerning the impacts of the CSR of the company on society and the environment. The management systems axis refers to the compliance of CSR reports with the disclosure of details about the policies, plans, and actions that companies implement to assure an effective management of CSR initiatives. Originality/value Previous literature exploring the relationship between corporate reporting and reputation has frequently focused on either the impact of the quantity of financial and CSR information reported by companies and the role of information quality, but only in reference to a number of specific themes (environment, customers) and not to the full range of information covered by CSR reports. The authors of this paper extend on previous academic literature by empirically evaluating the relationship between two dimensions of the information quality of CSR reporting (content and management systems) and the corporate reputation of companies operating in the Spanish Stock Market.","author":[{"dropping-particle":"","family":"Pérez","given":"Andrea","non-dropping-particle":"","parse-names":false,"suffix":""},{"dropping-particle":"","family":"Lopez-Gutierrez","given":"Carlos","non-dropping-particle":"","parse-names":false,"suffix":""}],"container-title":"Academia Revista Latinoamericana de Administración","id":"ITEM-1","issued":{"date-parts":[["2017"]]},"title":"An empirical analysis of the relationship between the information quality of CSR reporting and reputation among publicly traded companies in Spain","type":"article-journal"},"uris":["http://www.mendeley.com/documents/?uuid=e20405b5-b528-3678-8431-5a09bcae96cf"]}],"mendeley":{"formattedCitation":"(Pérez &amp; Lopez-Gutierrez, 2017)","plainTextFormattedCitation":"(Pérez &amp; Lopez-Gutierrez, 2017)","previouslyFormattedCitation":"(Pérez &amp; Lopez-Gutierrez, 2017)"},"properties":{"noteIndex":0},"schema":"https://github.com/citation-style-language/schema/raw/master/csl-citation.json"}</w:instrText>
      </w:r>
      <w:r w:rsidR="00BC730B">
        <w:fldChar w:fldCharType="separate"/>
      </w:r>
      <w:r w:rsidR="00BC730B" w:rsidRPr="00BC730B">
        <w:rPr>
          <w:noProof/>
        </w:rPr>
        <w:t>(Pérez &amp; Lopez-Gutierrez, 2017)</w:t>
      </w:r>
      <w:r w:rsidR="00BC730B">
        <w:fldChar w:fldCharType="end"/>
      </w:r>
      <w:r w:rsidR="00BC730B">
        <w:t xml:space="preserve">; </w:t>
      </w:r>
      <w:r w:rsidR="00BC730B" w:rsidRPr="00BC730B">
        <w:fldChar w:fldCharType="begin" w:fldLock="1"/>
      </w:r>
      <w:r w:rsidR="00BC730B">
        <w:instrText>ADDIN CSL_CITATION {"citationItems":[{"id":"ITEM-1","itemData":{"DOI":"10.1108/MAJ-07-2012-0729","ISSN":"0268-6902","abstract":"Purpose – The purpose of this paper is to examine corporate social responsibility (CSR) disclosures over a period of time when the business environment, particularly the Malaysian environment, experienced several significant changes including the recent financial crises and regulatory changes. The paper also examines factors influencing the CSR disclosures before and after the aforementioned changes.Design/methodology/approach – A self‐constructed CSR checklist was used to measure the extent and quality of CSR disclosures in the annual reports of 85 companies listed on Bursa Malaysia for the years 2006 and 2009. A number of statistical techniques were employed to assess the CSR disclosures over time, as well as factors influencing the CSR disclosures.Findings – Results revealed a significant overall increase in both the extent and quality of CSR disclosures between the two years covered in the study. In terms of factors influencing the CSR disclosures, director ownership, government ownership and company ...","author":[{"dropping-particle":"","family":"Ahmed Haji","given":"Abdifatah","non-dropping-particle":"","parse-names":false,"suffix":""}],"container-title":"Managerial Auditing Journal","id":"ITEM-1","issue":"7","issued":{"date-parts":[["2013","7","19"]]},"page":"647-676","publisher":"Emerald Group Publishing Limited","title":"Corporate social responsibility disclosures over time: evidence from Malaysia","type":"article-journal","volume":"28"},"uris":["http://www.mendeley.com/documents/?uuid=81732f03-749e-36ee-aab2-896595b67013"]}],"mendeley":{"formattedCitation":"(Ahmed Haji, 2013)","plainTextFormattedCitation":"(Ahmed Haji, 2013)","previouslyFormattedCitation":"(Ahmed Haji, 2013)"},"properties":{"noteIndex":0},"schema":"https://github.com/citation-style-language/schema/raw/master/csl-citation.json"}</w:instrText>
      </w:r>
      <w:r w:rsidR="00BC730B" w:rsidRPr="00BC730B">
        <w:fldChar w:fldCharType="separate"/>
      </w:r>
      <w:r w:rsidR="00BC730B" w:rsidRPr="00BC730B">
        <w:rPr>
          <w:noProof/>
        </w:rPr>
        <w:t>(Ahmed Haji, 2013)</w:t>
      </w:r>
      <w:r w:rsidR="00BC730B" w:rsidRPr="00BC730B">
        <w:fldChar w:fldCharType="end"/>
      </w:r>
      <w:r w:rsidR="000A7B9C">
        <w:t xml:space="preserve">. </w:t>
      </w:r>
      <w:proofErr w:type="spellStart"/>
      <w:r w:rsidR="000A7B9C">
        <w:t>Pendapat</w:t>
      </w:r>
      <w:proofErr w:type="spellEnd"/>
      <w:r w:rsidR="000A7B9C">
        <w:t xml:space="preserve"> </w:t>
      </w:r>
      <w:proofErr w:type="spellStart"/>
      <w:r w:rsidR="000A7B9C">
        <w:t>serupa</w:t>
      </w:r>
      <w:proofErr w:type="spellEnd"/>
      <w:r w:rsidR="000A7B9C">
        <w:t xml:space="preserve"> </w:t>
      </w:r>
      <w:proofErr w:type="spellStart"/>
      <w:r w:rsidR="000A7B9C">
        <w:t>dinyatakan</w:t>
      </w:r>
      <w:proofErr w:type="spellEnd"/>
      <w:r w:rsidR="00BC730B">
        <w:t xml:space="preserve"> </w:t>
      </w:r>
      <w:proofErr w:type="spellStart"/>
      <w:r w:rsidR="00AC64D9">
        <w:t>bahwa</w:t>
      </w:r>
      <w:proofErr w:type="spellEnd"/>
      <w:r w:rsidR="00AC64D9">
        <w:t xml:space="preserve"> CSRD </w:t>
      </w:r>
      <w:proofErr w:type="spellStart"/>
      <w:r w:rsidR="00AC64D9">
        <w:t>merupakan</w:t>
      </w:r>
      <w:proofErr w:type="spellEnd"/>
      <w:r w:rsidR="00AC64D9">
        <w:t xml:space="preserve"> strategi </w:t>
      </w:r>
      <w:proofErr w:type="spellStart"/>
      <w:r w:rsidR="00AC64D9">
        <w:t>untuk</w:t>
      </w:r>
      <w:proofErr w:type="spellEnd"/>
      <w:r w:rsidR="00AC64D9">
        <w:t xml:space="preserve"> </w:t>
      </w:r>
      <w:proofErr w:type="spellStart"/>
      <w:r w:rsidR="00AC64D9">
        <w:t>mendapatkan</w:t>
      </w:r>
      <w:proofErr w:type="spellEnd"/>
      <w:r w:rsidR="00AC64D9">
        <w:t xml:space="preserve"> </w:t>
      </w:r>
      <w:proofErr w:type="spellStart"/>
      <w:r w:rsidR="00AC64D9">
        <w:t>legitimasi</w:t>
      </w:r>
      <w:proofErr w:type="spellEnd"/>
      <w:r w:rsidR="00AC64D9">
        <w:t xml:space="preserve"> </w:t>
      </w:r>
      <w:proofErr w:type="spellStart"/>
      <w:r w:rsidR="00AC64D9">
        <w:t>dari</w:t>
      </w:r>
      <w:proofErr w:type="spellEnd"/>
      <w:r w:rsidR="00AC64D9">
        <w:t xml:space="preserve"> stakeholder, </w:t>
      </w:r>
      <w:proofErr w:type="spellStart"/>
      <w:r w:rsidR="00AC64D9">
        <w:t>menciptakan</w:t>
      </w:r>
      <w:proofErr w:type="spellEnd"/>
      <w:r w:rsidR="00AC64D9">
        <w:t xml:space="preserve"> </w:t>
      </w:r>
      <w:proofErr w:type="spellStart"/>
      <w:r w:rsidR="00AC64D9">
        <w:t>reputasi</w:t>
      </w:r>
      <w:proofErr w:type="spellEnd"/>
      <w:r w:rsidR="00AC64D9">
        <w:t xml:space="preserve"> </w:t>
      </w:r>
      <w:proofErr w:type="spellStart"/>
      <w:r w:rsidR="00AC64D9">
        <w:t>bagi</w:t>
      </w:r>
      <w:proofErr w:type="spellEnd"/>
      <w:r w:rsidR="00AC64D9">
        <w:t xml:space="preserve"> </w:t>
      </w:r>
      <w:proofErr w:type="spellStart"/>
      <w:r w:rsidR="00AC64D9">
        <w:t>perusahaan</w:t>
      </w:r>
      <w:proofErr w:type="spellEnd"/>
      <w:r w:rsidR="00AC64D9">
        <w:t xml:space="preserve">, </w:t>
      </w:r>
      <w:proofErr w:type="spellStart"/>
      <w:r w:rsidR="00AC64D9">
        <w:t>memiliki</w:t>
      </w:r>
      <w:proofErr w:type="spellEnd"/>
      <w:r w:rsidR="00AC64D9">
        <w:t xml:space="preserve"> </w:t>
      </w:r>
      <w:proofErr w:type="spellStart"/>
      <w:r w:rsidR="00AC64D9">
        <w:t>kandungan</w:t>
      </w:r>
      <w:proofErr w:type="spellEnd"/>
      <w:r w:rsidR="00AC64D9">
        <w:t xml:space="preserve"> </w:t>
      </w:r>
      <w:proofErr w:type="spellStart"/>
      <w:r w:rsidR="00AC64D9">
        <w:t>informasi</w:t>
      </w:r>
      <w:proofErr w:type="spellEnd"/>
      <w:r w:rsidR="00AC64D9">
        <w:t xml:space="preserve"> </w:t>
      </w:r>
      <w:proofErr w:type="spellStart"/>
      <w:r w:rsidR="00AC64D9">
        <w:t>untuk</w:t>
      </w:r>
      <w:proofErr w:type="spellEnd"/>
      <w:r w:rsidR="00AC64D9">
        <w:t xml:space="preserve"> </w:t>
      </w:r>
      <w:proofErr w:type="spellStart"/>
      <w:r w:rsidR="00AC64D9">
        <w:t>mendukung</w:t>
      </w:r>
      <w:proofErr w:type="spellEnd"/>
      <w:r w:rsidR="00AC64D9">
        <w:t xml:space="preserve"> </w:t>
      </w:r>
      <w:proofErr w:type="spellStart"/>
      <w:r w:rsidR="00AC64D9">
        <w:t>transaksi</w:t>
      </w:r>
      <w:proofErr w:type="spellEnd"/>
      <w:r w:rsidR="00AC64D9">
        <w:t xml:space="preserve"> dan </w:t>
      </w:r>
      <w:proofErr w:type="spellStart"/>
      <w:r w:rsidR="00AC64D9">
        <w:t>investasi</w:t>
      </w:r>
      <w:proofErr w:type="spellEnd"/>
      <w:r w:rsidR="00AC64D9">
        <w:t xml:space="preserve"> di pasa</w:t>
      </w:r>
      <w:r w:rsidR="00BC730B">
        <w:t>r</w:t>
      </w:r>
      <w:r w:rsidR="00AC64D9">
        <w:t xml:space="preserve"> modal </w:t>
      </w:r>
      <w:r w:rsidR="00BC730B">
        <w:fldChar w:fldCharType="begin" w:fldLock="1"/>
      </w:r>
      <w:r w:rsidR="00BD7BA0">
        <w:instrText>ADDIN CSL_CITATION {"citationItems":[{"id":"ITEM-1","itemData":{"ISSN":"19475667","abstract":"Purpose: The objective of this study is to examine the relationship of corporate governance characteristics and the level of sustainability disclosure with moderating effect of internal audit function. This study focused on the manufacturing industry listed at Main Market Bursa Malaysia. 120 companies were taken in this study. This study underpins Agency Theory to investigate and explain the role played by corporate governance characteristic (e.g. board size, board independence and CEO duality) and internal audit function (IAF) and their association with the level of sustainability disclosure. Design/methodology/approach: Quantitative method by way of content analysis of secondary data was employed to the annual reports of consumer products and industrial products companies listed on the Main Market of Bursa Malaysia in the year 2015. Among the secondary data derived from annual reports were board size, board independence, CEO duality, firm size, profitability, internal audit function and sustainability disclosure information. The data obtained was analysed using Partial Least Squares Structural Equation Modeling (PLS-SEM). Findings: CEO duality was found to have significant negative relationship with the level of sustainability disclosure while internal audit function was found moderating the relationship of CEO duality and the level of sustainability disclosure. Research limitation/implications: This study has been carried out just for a one year period. Longitudinal study may improve the consistency of the results. The finding also contributes to the body of knowledge on the moderating effects of internal audit functions and its relationship with corporate governance characteristics and level of sustainability disclosure. Practical implications: The sustainability disclosure level for manufacturing companies has wide gap among themselves. Malaysia manufacturing companies need to improve the sustainability disclosure level to close the gap among themselves. Internal audit function plays an important role to monitor and improve sustainability disclosure of the companies. Continuous improvement is needed so that manufacturing industry in Malaysia is able to be a world-class benchmark in future. Originality/ Values: This research paper adds value to current knowledge by highlighting the importance of relationship between corporate governance characteristics, internal audit function, and level of sustainability disclosure, while past research had mostly f…","author":[{"dropping-particle":"","family":"Ganesan","given":"Yuvaraj","non-dropping-particle":"","parse-names":false,"suffix":""},{"dropping-particle":"","family":"Hwa","given":"Yew Wei","non-dropping-particle":"","parse-names":false,"suffix":""},{"dropping-particle":"","family":"Jaaffar","given":"Amar Hisham","non-dropping-particle":"","parse-names":false,"suffix":""},{"dropping-particle":"","family":"Hashim","given":"Fathyah","non-dropping-particle":"","parse-names":false,"suffix":""}],"container-title":"Global Business &amp; Management Research","id":"ITEM-1","issue":"4","issued":{"date-parts":[["2017"]]},"page":"159-179","title":"Corporate Governance and Sustainability Reporting Practices: The Moderating Role of Internal Audit Function.","type":"article-journal","volume":"9"},"uris":["http://www.mendeley.com/documents/?uuid=651da9b5-e7fb-4635-b768-9b84aeaaa557"]}],"mendeley":{"formattedCitation":"(Ganesan et al., 2017)","plainTextFormattedCitation":"(Ganesan et al., 2017)","previouslyFormattedCitation":"(Ganesan et al., 2017)"},"properties":{"noteIndex":0},"schema":"https://github.com/citation-style-language/schema/raw/master/csl-citation.json"}</w:instrText>
      </w:r>
      <w:r w:rsidR="00BC730B">
        <w:fldChar w:fldCharType="separate"/>
      </w:r>
      <w:r w:rsidR="00BC730B" w:rsidRPr="00BC730B">
        <w:rPr>
          <w:noProof/>
        </w:rPr>
        <w:t>(Ganesan et al., 2017)</w:t>
      </w:r>
      <w:r w:rsidR="00BC730B">
        <w:fldChar w:fldCharType="end"/>
      </w:r>
      <w:r w:rsidR="00AC64D9">
        <w:t xml:space="preserve">. </w:t>
      </w:r>
      <w:r w:rsidR="008A25A0">
        <w:t xml:space="preserve"> </w:t>
      </w:r>
      <w:r w:rsidR="00BD7BA0">
        <w:fldChar w:fldCharType="begin" w:fldLock="1"/>
      </w:r>
      <w:r w:rsidR="00BD7BA0">
        <w:instrText>ADDIN CSL_CITATION {"citationItems":[{"id":"ITEM-1","itemData":{"DOI":"10.1002/smj.4250130205","ISSN":"01432095","author":[{"dropping-particle":"","family":"Hall","given":"Richard","non-dropping-particle":"","parse-names":false,"suffix":""}],"container-title":"Strategic Management Journal","id":"ITEM-1","issue":"2","issued":{"date-parts":[["1992","2","1"]]},"page":"135-144","publisher":"John Wiley &amp; Sons, Ltd","title":"The strategic analysis of intangible resources","type":"article-journal","volume":"13"},"uris":["http://www.mendeley.com/documents/?uuid=108af117-29b8-3353-b74a-076f493dbcb2"]}],"mendeley":{"formattedCitation":"(Hall, 1992)","manualFormatting":"(Hall (1992)","plainTextFormattedCitation":"(Hall, 1992)","previouslyFormattedCitation":"(Hall, 1992)"},"properties":{"noteIndex":0},"schema":"https://github.com/citation-style-language/schema/raw/master/csl-citation.json"}</w:instrText>
      </w:r>
      <w:r w:rsidR="00BD7BA0">
        <w:fldChar w:fldCharType="separate"/>
      </w:r>
      <w:r w:rsidR="00BD7BA0" w:rsidRPr="00BD7BA0">
        <w:rPr>
          <w:noProof/>
        </w:rPr>
        <w:t xml:space="preserve">Hall </w:t>
      </w:r>
      <w:r w:rsidR="00BD7BA0">
        <w:rPr>
          <w:noProof/>
        </w:rPr>
        <w:t>(</w:t>
      </w:r>
      <w:r w:rsidR="00BD7BA0" w:rsidRPr="00BD7BA0">
        <w:rPr>
          <w:noProof/>
        </w:rPr>
        <w:t>1992)</w:t>
      </w:r>
      <w:r w:rsidR="00BD7BA0">
        <w:fldChar w:fldCharType="end"/>
      </w:r>
      <w:r w:rsidR="00BD7BA0">
        <w:t xml:space="preserve"> </w:t>
      </w:r>
      <w:r w:rsidR="00BD7BA0">
        <w:fldChar w:fldCharType="begin" w:fldLock="1"/>
      </w:r>
      <w:r w:rsidR="00BD7BA0">
        <w:instrText>ADDIN CSL_CITATION {"citationItems":[{"id":"ITEM-1","itemData":{"DOI":"10.1002/smj.4250090505","ISSN":"01432095","author":[{"dropping-particle":"","family":"Weigelt","given":"Keith","non-dropping-particle":"","parse-names":false,"suffix":""},{"dropping-particle":"","family":"Camerer","given":"Colin","non-dropping-particle":"","parse-names":false,"suffix":""}],"container-title":"Strategic Management Journal","id":"ITEM-1","issue":"5","issued":{"date-parts":[["1988","9","1"]]},"page":"443-454","publisher":"John Wiley &amp; Sons, Ltd","title":"Reputation and corporate strategy: A review of recent theory and applications","type":"article-journal","volume":"9"},"uris":["http://www.mendeley.com/documents/?uuid=a14b2baf-0ebf-32dc-a7a8-d27c83f00a7a"]}],"mendeley":{"formattedCitation":"(Weigelt &amp; Camerer, 1988)","manualFormatting":"serta Weigelt &amp; Camerer (1988)","plainTextFormattedCitation":"(Weigelt &amp; Camerer, 1988)"},"properties":{"noteIndex":0},"schema":"https://github.com/citation-style-language/schema/raw/master/csl-citation.json"}</w:instrText>
      </w:r>
      <w:r w:rsidR="00BD7BA0">
        <w:fldChar w:fldCharType="separate"/>
      </w:r>
      <w:r w:rsidR="00BD7BA0">
        <w:rPr>
          <w:noProof/>
        </w:rPr>
        <w:t xml:space="preserve">serta </w:t>
      </w:r>
      <w:r w:rsidR="00BD7BA0" w:rsidRPr="00BD7BA0">
        <w:rPr>
          <w:noProof/>
        </w:rPr>
        <w:t xml:space="preserve">Weigelt &amp; Camerer </w:t>
      </w:r>
      <w:r w:rsidR="00BD7BA0">
        <w:rPr>
          <w:noProof/>
        </w:rPr>
        <w:t>(</w:t>
      </w:r>
      <w:r w:rsidR="00BD7BA0" w:rsidRPr="00BD7BA0">
        <w:rPr>
          <w:noProof/>
        </w:rPr>
        <w:t>1988)</w:t>
      </w:r>
      <w:r w:rsidR="00BD7BA0">
        <w:fldChar w:fldCharType="end"/>
      </w:r>
      <w:r w:rsidR="00BD7BA0">
        <w:t xml:space="preserve"> </w:t>
      </w:r>
      <w:proofErr w:type="spellStart"/>
      <w:r w:rsidR="008A25A0">
        <w:t>menyatakan</w:t>
      </w:r>
      <w:proofErr w:type="spellEnd"/>
      <w:r w:rsidR="008A25A0">
        <w:t xml:space="preserve"> </w:t>
      </w:r>
      <w:proofErr w:type="spellStart"/>
      <w:r w:rsidR="008A25A0">
        <w:t>reputasi</w:t>
      </w:r>
      <w:proofErr w:type="spellEnd"/>
      <w:r w:rsidR="008A25A0">
        <w:t xml:space="preserve"> </w:t>
      </w:r>
      <w:proofErr w:type="spellStart"/>
      <w:r w:rsidR="008A25A0">
        <w:t>merupakan</w:t>
      </w:r>
      <w:proofErr w:type="spellEnd"/>
      <w:r w:rsidR="008A25A0">
        <w:t xml:space="preserve"> </w:t>
      </w:r>
      <w:proofErr w:type="spellStart"/>
      <w:r w:rsidR="008A25A0">
        <w:t>niat</w:t>
      </w:r>
      <w:proofErr w:type="spellEnd"/>
      <w:r w:rsidR="008A25A0">
        <w:t xml:space="preserve"> </w:t>
      </w:r>
      <w:proofErr w:type="spellStart"/>
      <w:r w:rsidR="008A25A0">
        <w:t>baik</w:t>
      </w:r>
      <w:proofErr w:type="spellEnd"/>
      <w:r w:rsidR="008A25A0">
        <w:t xml:space="preserve"> yang </w:t>
      </w:r>
      <w:proofErr w:type="spellStart"/>
      <w:r w:rsidR="008A25A0">
        <w:t>diungkapkan</w:t>
      </w:r>
      <w:proofErr w:type="spellEnd"/>
      <w:r w:rsidR="008A25A0">
        <w:t xml:space="preserve"> </w:t>
      </w:r>
      <w:proofErr w:type="spellStart"/>
      <w:r w:rsidR="008A25A0">
        <w:t>dalam</w:t>
      </w:r>
      <w:proofErr w:type="spellEnd"/>
      <w:r w:rsidR="008A25A0">
        <w:t xml:space="preserve"> </w:t>
      </w:r>
      <w:proofErr w:type="spellStart"/>
      <w:r w:rsidR="008A25A0">
        <w:t>akuntansi</w:t>
      </w:r>
      <w:proofErr w:type="spellEnd"/>
      <w:r w:rsidR="008A25A0">
        <w:t xml:space="preserve">. </w:t>
      </w:r>
      <w:proofErr w:type="spellStart"/>
      <w:r w:rsidR="008A25A0">
        <w:t>Legitimasi</w:t>
      </w:r>
      <w:proofErr w:type="spellEnd"/>
      <w:r w:rsidR="008A25A0">
        <w:t xml:space="preserve"> yang </w:t>
      </w:r>
      <w:proofErr w:type="spellStart"/>
      <w:r w:rsidR="008A25A0">
        <w:t>telah</w:t>
      </w:r>
      <w:proofErr w:type="spellEnd"/>
      <w:r w:rsidR="008A25A0">
        <w:t xml:space="preserve"> </w:t>
      </w:r>
      <w:proofErr w:type="spellStart"/>
      <w:r w:rsidR="008A25A0">
        <w:t>diterima</w:t>
      </w:r>
      <w:proofErr w:type="spellEnd"/>
      <w:r w:rsidR="008A25A0">
        <w:t xml:space="preserve"> oleh </w:t>
      </w:r>
      <w:proofErr w:type="spellStart"/>
      <w:r w:rsidR="008A25A0">
        <w:t>perusahaan</w:t>
      </w:r>
      <w:proofErr w:type="spellEnd"/>
      <w:r w:rsidR="008A25A0">
        <w:t xml:space="preserve"> </w:t>
      </w:r>
      <w:proofErr w:type="spellStart"/>
      <w:r w:rsidR="008A25A0">
        <w:t>karena</w:t>
      </w:r>
      <w:proofErr w:type="spellEnd"/>
      <w:r w:rsidR="008A25A0">
        <w:t xml:space="preserve"> </w:t>
      </w:r>
      <w:proofErr w:type="spellStart"/>
      <w:r w:rsidR="008A25A0">
        <w:t>adanya</w:t>
      </w:r>
      <w:proofErr w:type="spellEnd"/>
      <w:r w:rsidR="008A25A0">
        <w:t xml:space="preserve"> </w:t>
      </w:r>
      <w:proofErr w:type="spellStart"/>
      <w:r w:rsidR="008A25A0">
        <w:t>reputasi</w:t>
      </w:r>
      <w:proofErr w:type="spellEnd"/>
      <w:r w:rsidR="008A25A0">
        <w:t xml:space="preserve"> yang </w:t>
      </w:r>
      <w:proofErr w:type="spellStart"/>
      <w:r w:rsidR="008A25A0">
        <w:t>telah</w:t>
      </w:r>
      <w:proofErr w:type="spellEnd"/>
      <w:r w:rsidR="008A25A0">
        <w:t xml:space="preserve"> </w:t>
      </w:r>
      <w:proofErr w:type="spellStart"/>
      <w:r w:rsidR="008A25A0">
        <w:t>tercipta</w:t>
      </w:r>
      <w:proofErr w:type="spellEnd"/>
      <w:r w:rsidR="008A25A0">
        <w:t xml:space="preserve"> </w:t>
      </w:r>
      <w:proofErr w:type="spellStart"/>
      <w:r w:rsidR="008A25A0">
        <w:t>membuat</w:t>
      </w:r>
      <w:proofErr w:type="spellEnd"/>
      <w:r w:rsidR="008A25A0">
        <w:t xml:space="preserve"> </w:t>
      </w:r>
      <w:proofErr w:type="spellStart"/>
      <w:r w:rsidR="008A25A0">
        <w:t>suatu</w:t>
      </w:r>
      <w:proofErr w:type="spellEnd"/>
      <w:r w:rsidR="008A25A0">
        <w:t xml:space="preserve"> </w:t>
      </w:r>
      <w:proofErr w:type="spellStart"/>
      <w:r w:rsidR="008A25A0">
        <w:t>entitas</w:t>
      </w:r>
      <w:proofErr w:type="spellEnd"/>
      <w:r w:rsidR="008A25A0">
        <w:t xml:space="preserve"> </w:t>
      </w:r>
      <w:proofErr w:type="spellStart"/>
      <w:r w:rsidR="008A25A0">
        <w:t>harus</w:t>
      </w:r>
      <w:proofErr w:type="spellEnd"/>
      <w:r w:rsidR="008A25A0">
        <w:t xml:space="preserve"> </w:t>
      </w:r>
      <w:proofErr w:type="spellStart"/>
      <w:r w:rsidR="008A25A0">
        <w:t>mengikuti</w:t>
      </w:r>
      <w:proofErr w:type="spellEnd"/>
      <w:r w:rsidR="008A25A0">
        <w:t xml:space="preserve"> </w:t>
      </w:r>
      <w:proofErr w:type="spellStart"/>
      <w:r w:rsidR="008A25A0">
        <w:t>segala</w:t>
      </w:r>
      <w:proofErr w:type="spellEnd"/>
      <w:r w:rsidR="008A25A0">
        <w:t xml:space="preserve"> </w:t>
      </w:r>
      <w:proofErr w:type="spellStart"/>
      <w:r w:rsidR="008A25A0">
        <w:t>perkembangan</w:t>
      </w:r>
      <w:proofErr w:type="spellEnd"/>
      <w:r w:rsidR="008A25A0">
        <w:t xml:space="preserve"> </w:t>
      </w:r>
      <w:proofErr w:type="spellStart"/>
      <w:r w:rsidR="008A25A0">
        <w:t>bisnis</w:t>
      </w:r>
      <w:proofErr w:type="spellEnd"/>
      <w:r w:rsidR="008A25A0">
        <w:t xml:space="preserve"> </w:t>
      </w:r>
      <w:proofErr w:type="spellStart"/>
      <w:r w:rsidR="008A25A0">
        <w:t>dari</w:t>
      </w:r>
      <w:proofErr w:type="spellEnd"/>
      <w:r w:rsidR="008A25A0">
        <w:t xml:space="preserve"> </w:t>
      </w:r>
      <w:proofErr w:type="spellStart"/>
      <w:r w:rsidR="008A25A0">
        <w:t>seluruh</w:t>
      </w:r>
      <w:proofErr w:type="spellEnd"/>
      <w:r w:rsidR="008A25A0">
        <w:t xml:space="preserve"> </w:t>
      </w:r>
      <w:proofErr w:type="spellStart"/>
      <w:r w:rsidR="008A25A0">
        <w:t>aspek</w:t>
      </w:r>
      <w:proofErr w:type="spellEnd"/>
      <w:r w:rsidR="008A25A0">
        <w:t xml:space="preserve"> </w:t>
      </w:r>
      <w:proofErr w:type="spellStart"/>
      <w:r w:rsidR="008A25A0">
        <w:t>abik</w:t>
      </w:r>
      <w:proofErr w:type="spellEnd"/>
      <w:r w:rsidR="008A25A0">
        <w:t xml:space="preserve"> </w:t>
      </w:r>
      <w:proofErr w:type="spellStart"/>
      <w:r w:rsidR="008A25A0">
        <w:t>itu</w:t>
      </w:r>
      <w:proofErr w:type="spellEnd"/>
      <w:r w:rsidR="008A25A0">
        <w:t xml:space="preserve"> </w:t>
      </w:r>
      <w:proofErr w:type="spellStart"/>
      <w:r w:rsidR="008A25A0">
        <w:t>berkaitan</w:t>
      </w:r>
      <w:proofErr w:type="spellEnd"/>
      <w:r w:rsidR="008A25A0">
        <w:t xml:space="preserve"> </w:t>
      </w:r>
      <w:proofErr w:type="spellStart"/>
      <w:r w:rsidR="008A25A0">
        <w:t>dengan</w:t>
      </w:r>
      <w:proofErr w:type="spellEnd"/>
      <w:r w:rsidR="008A25A0">
        <w:t xml:space="preserve"> </w:t>
      </w:r>
      <w:r w:rsidR="008A25A0" w:rsidRPr="00BD7BA0">
        <w:rPr>
          <w:i/>
          <w:iCs/>
        </w:rPr>
        <w:t>profit, people, dan planet</w:t>
      </w:r>
      <w:r w:rsidR="008A25A0">
        <w:t xml:space="preserve"> yang </w:t>
      </w:r>
      <w:proofErr w:type="spellStart"/>
      <w:r w:rsidR="008A25A0">
        <w:t>sesuai</w:t>
      </w:r>
      <w:proofErr w:type="spellEnd"/>
      <w:r w:rsidR="008A25A0">
        <w:t xml:space="preserve"> </w:t>
      </w:r>
      <w:proofErr w:type="spellStart"/>
      <w:r w:rsidR="008A25A0">
        <w:t>dengan</w:t>
      </w:r>
      <w:proofErr w:type="spellEnd"/>
      <w:r w:rsidR="008A25A0">
        <w:t xml:space="preserve"> </w:t>
      </w:r>
      <w:proofErr w:type="spellStart"/>
      <w:r w:rsidR="008A25A0">
        <w:t>alur</w:t>
      </w:r>
      <w:proofErr w:type="spellEnd"/>
      <w:r w:rsidR="008A25A0">
        <w:t xml:space="preserve"> </w:t>
      </w:r>
      <w:r w:rsidR="008A25A0" w:rsidRPr="00BD7BA0">
        <w:rPr>
          <w:i/>
          <w:iCs/>
        </w:rPr>
        <w:t>triple bottom line</w:t>
      </w:r>
      <w:r w:rsidR="008A25A0">
        <w:t xml:space="preserve"> yang </w:t>
      </w:r>
      <w:proofErr w:type="spellStart"/>
      <w:r w:rsidR="008A25A0">
        <w:t>mengharapkan</w:t>
      </w:r>
      <w:proofErr w:type="spellEnd"/>
      <w:r w:rsidR="008A25A0">
        <w:t xml:space="preserve"> </w:t>
      </w:r>
      <w:proofErr w:type="spellStart"/>
      <w:r w:rsidR="008A25A0">
        <w:t>entitas</w:t>
      </w:r>
      <w:proofErr w:type="spellEnd"/>
      <w:r w:rsidR="008A25A0">
        <w:t xml:space="preserve"> </w:t>
      </w:r>
      <w:proofErr w:type="spellStart"/>
      <w:r w:rsidR="008A25A0">
        <w:t>saat</w:t>
      </w:r>
      <w:proofErr w:type="spellEnd"/>
      <w:r w:rsidR="008A25A0">
        <w:t xml:space="preserve"> </w:t>
      </w:r>
      <w:proofErr w:type="spellStart"/>
      <w:r w:rsidR="008A25A0">
        <w:t>ini</w:t>
      </w:r>
      <w:proofErr w:type="spellEnd"/>
      <w:r w:rsidR="008A25A0">
        <w:t xml:space="preserve"> </w:t>
      </w:r>
      <w:proofErr w:type="spellStart"/>
      <w:r w:rsidR="008A25A0">
        <w:t>untuk</w:t>
      </w:r>
      <w:proofErr w:type="spellEnd"/>
      <w:r w:rsidR="008A25A0">
        <w:t xml:space="preserve"> </w:t>
      </w:r>
      <w:proofErr w:type="spellStart"/>
      <w:r w:rsidR="008A25A0">
        <w:t>menyeimbangkan</w:t>
      </w:r>
      <w:proofErr w:type="spellEnd"/>
      <w:r w:rsidR="008A25A0">
        <w:t xml:space="preserve"> </w:t>
      </w:r>
      <w:proofErr w:type="spellStart"/>
      <w:r w:rsidR="008A25A0">
        <w:t>ketiga</w:t>
      </w:r>
      <w:proofErr w:type="spellEnd"/>
      <w:r w:rsidR="008A25A0">
        <w:t xml:space="preserve"> </w:t>
      </w:r>
      <w:proofErr w:type="spellStart"/>
      <w:r w:rsidR="008A25A0">
        <w:t>unsur</w:t>
      </w:r>
      <w:proofErr w:type="spellEnd"/>
      <w:r w:rsidR="008A25A0">
        <w:t xml:space="preserve"> </w:t>
      </w:r>
      <w:proofErr w:type="spellStart"/>
      <w:r w:rsidR="008A25A0">
        <w:t>tersebut</w:t>
      </w:r>
      <w:proofErr w:type="spellEnd"/>
      <w:r w:rsidR="008A25A0">
        <w:t xml:space="preserve"> demi </w:t>
      </w:r>
      <w:proofErr w:type="spellStart"/>
      <w:r w:rsidR="008A25A0">
        <w:t>tercapainya</w:t>
      </w:r>
      <w:proofErr w:type="spellEnd"/>
      <w:r w:rsidR="008A25A0">
        <w:t xml:space="preserve"> </w:t>
      </w:r>
      <w:proofErr w:type="spellStart"/>
      <w:r w:rsidR="008A25A0">
        <w:t>keberlanjutan</w:t>
      </w:r>
      <w:proofErr w:type="spellEnd"/>
      <w:r w:rsidR="008A25A0">
        <w:t>.</w:t>
      </w:r>
    </w:p>
    <w:p w14:paraId="24561CAE" w14:textId="21B17BCC" w:rsidR="007B5DBB" w:rsidRDefault="008A25A0" w:rsidP="00C21210">
      <w:pPr>
        <w:pStyle w:val="BodyText"/>
        <w:spacing w:before="1"/>
        <w:ind w:left="284" w:firstLine="436"/>
        <w:rPr>
          <w:bCs/>
        </w:rPr>
      </w:pPr>
      <w:r>
        <w:rPr>
          <w:bCs/>
        </w:rPr>
        <w:t xml:space="preserve">Pada </w:t>
      </w:r>
      <w:proofErr w:type="spellStart"/>
      <w:r>
        <w:rPr>
          <w:bCs/>
        </w:rPr>
        <w:t>teori</w:t>
      </w:r>
      <w:proofErr w:type="spellEnd"/>
      <w:r>
        <w:rPr>
          <w:bCs/>
        </w:rPr>
        <w:t xml:space="preserve"> </w:t>
      </w:r>
      <w:proofErr w:type="spellStart"/>
      <w:r>
        <w:rPr>
          <w:bCs/>
        </w:rPr>
        <w:t>sinyal</w:t>
      </w:r>
      <w:proofErr w:type="spellEnd"/>
      <w:r>
        <w:rPr>
          <w:bCs/>
        </w:rPr>
        <w:t xml:space="preserve"> </w:t>
      </w:r>
      <w:proofErr w:type="spellStart"/>
      <w:r>
        <w:rPr>
          <w:bCs/>
        </w:rPr>
        <w:t>digambarkan</w:t>
      </w:r>
      <w:proofErr w:type="spellEnd"/>
      <w:r>
        <w:rPr>
          <w:bCs/>
        </w:rPr>
        <w:t xml:space="preserve"> </w:t>
      </w:r>
      <w:proofErr w:type="spellStart"/>
      <w:r>
        <w:rPr>
          <w:bCs/>
        </w:rPr>
        <w:t>bahwa</w:t>
      </w:r>
      <w:proofErr w:type="spellEnd"/>
      <w:r>
        <w:rPr>
          <w:bCs/>
        </w:rPr>
        <w:t xml:space="preserve"> </w:t>
      </w:r>
      <w:proofErr w:type="spellStart"/>
      <w:r>
        <w:rPr>
          <w:bCs/>
        </w:rPr>
        <w:t>perusahaan</w:t>
      </w:r>
      <w:proofErr w:type="spellEnd"/>
      <w:r>
        <w:rPr>
          <w:bCs/>
        </w:rPr>
        <w:t xml:space="preserve"> yang </w:t>
      </w:r>
      <w:proofErr w:type="spellStart"/>
      <w:r>
        <w:rPr>
          <w:bCs/>
        </w:rPr>
        <w:t>memiliki</w:t>
      </w:r>
      <w:proofErr w:type="spellEnd"/>
      <w:r>
        <w:rPr>
          <w:bCs/>
        </w:rPr>
        <w:t xml:space="preserve"> </w:t>
      </w:r>
      <w:proofErr w:type="spellStart"/>
      <w:r>
        <w:rPr>
          <w:bCs/>
        </w:rPr>
        <w:t>umur</w:t>
      </w:r>
      <w:proofErr w:type="spellEnd"/>
      <w:r>
        <w:rPr>
          <w:bCs/>
        </w:rPr>
        <w:t xml:space="preserve"> yang lama </w:t>
      </w:r>
      <w:proofErr w:type="spellStart"/>
      <w:r>
        <w:rPr>
          <w:bCs/>
        </w:rPr>
        <w:t>adalah</w:t>
      </w:r>
      <w:proofErr w:type="spellEnd"/>
      <w:r>
        <w:rPr>
          <w:bCs/>
        </w:rPr>
        <w:t xml:space="preserve"> salah </w:t>
      </w:r>
      <w:proofErr w:type="spellStart"/>
      <w:r>
        <w:rPr>
          <w:bCs/>
        </w:rPr>
        <w:t>satu</w:t>
      </w:r>
      <w:proofErr w:type="spellEnd"/>
      <w:r>
        <w:rPr>
          <w:bCs/>
        </w:rPr>
        <w:t xml:space="preserve"> </w:t>
      </w:r>
      <w:proofErr w:type="spellStart"/>
      <w:r>
        <w:rPr>
          <w:bCs/>
        </w:rPr>
        <w:t>sinyal</w:t>
      </w:r>
      <w:proofErr w:type="spellEnd"/>
      <w:r>
        <w:rPr>
          <w:bCs/>
        </w:rPr>
        <w:t xml:space="preserve"> yang </w:t>
      </w:r>
      <w:proofErr w:type="spellStart"/>
      <w:r>
        <w:rPr>
          <w:bCs/>
        </w:rPr>
        <w:t>dapat</w:t>
      </w:r>
      <w:proofErr w:type="spellEnd"/>
      <w:r>
        <w:rPr>
          <w:bCs/>
        </w:rPr>
        <w:t xml:space="preserve"> </w:t>
      </w:r>
      <w:proofErr w:type="spellStart"/>
      <w:r>
        <w:rPr>
          <w:bCs/>
        </w:rPr>
        <w:t>menarik</w:t>
      </w:r>
      <w:proofErr w:type="spellEnd"/>
      <w:r>
        <w:rPr>
          <w:bCs/>
        </w:rPr>
        <w:t xml:space="preserve"> pada investor </w:t>
      </w:r>
      <w:proofErr w:type="spellStart"/>
      <w:r>
        <w:rPr>
          <w:bCs/>
        </w:rPr>
        <w:t>karena</w:t>
      </w:r>
      <w:proofErr w:type="spellEnd"/>
      <w:r>
        <w:rPr>
          <w:bCs/>
        </w:rPr>
        <w:t xml:space="preserve"> </w:t>
      </w:r>
      <w:proofErr w:type="spellStart"/>
      <w:r>
        <w:rPr>
          <w:bCs/>
        </w:rPr>
        <w:t>mempunyai</w:t>
      </w:r>
      <w:proofErr w:type="spellEnd"/>
      <w:r>
        <w:rPr>
          <w:bCs/>
        </w:rPr>
        <w:t xml:space="preserve"> </w:t>
      </w:r>
      <w:proofErr w:type="spellStart"/>
      <w:r>
        <w:rPr>
          <w:bCs/>
        </w:rPr>
        <w:t>suatu</w:t>
      </w:r>
      <w:proofErr w:type="spellEnd"/>
      <w:r>
        <w:rPr>
          <w:bCs/>
        </w:rPr>
        <w:t xml:space="preserve"> </w:t>
      </w:r>
      <w:proofErr w:type="spellStart"/>
      <w:r>
        <w:rPr>
          <w:bCs/>
        </w:rPr>
        <w:t>entitas</w:t>
      </w:r>
      <w:proofErr w:type="spellEnd"/>
      <w:r>
        <w:rPr>
          <w:bCs/>
        </w:rPr>
        <w:t xml:space="preserve"> </w:t>
      </w:r>
      <w:proofErr w:type="spellStart"/>
      <w:r>
        <w:rPr>
          <w:bCs/>
        </w:rPr>
        <w:t>untuk</w:t>
      </w:r>
      <w:proofErr w:type="spellEnd"/>
      <w:r>
        <w:rPr>
          <w:bCs/>
        </w:rPr>
        <w:t xml:space="preserve"> </w:t>
      </w:r>
      <w:proofErr w:type="spellStart"/>
      <w:r>
        <w:rPr>
          <w:bCs/>
        </w:rPr>
        <w:t>bertahan</w:t>
      </w:r>
      <w:proofErr w:type="spellEnd"/>
      <w:r>
        <w:rPr>
          <w:bCs/>
        </w:rPr>
        <w:t xml:space="preserve"> </w:t>
      </w:r>
      <w:proofErr w:type="spellStart"/>
      <w:r>
        <w:rPr>
          <w:bCs/>
        </w:rPr>
        <w:t>hidup</w:t>
      </w:r>
      <w:proofErr w:type="spellEnd"/>
      <w:r>
        <w:rPr>
          <w:bCs/>
        </w:rPr>
        <w:t xml:space="preserve">. Hal </w:t>
      </w:r>
      <w:proofErr w:type="spellStart"/>
      <w:r>
        <w:rPr>
          <w:bCs/>
        </w:rPr>
        <w:t>tersebut</w:t>
      </w:r>
      <w:proofErr w:type="spellEnd"/>
      <w:r>
        <w:rPr>
          <w:bCs/>
        </w:rPr>
        <w:t xml:space="preserve"> yang </w:t>
      </w:r>
      <w:proofErr w:type="spellStart"/>
      <w:r>
        <w:rPr>
          <w:bCs/>
        </w:rPr>
        <w:t>menekan</w:t>
      </w:r>
      <w:proofErr w:type="spellEnd"/>
      <w:r>
        <w:rPr>
          <w:bCs/>
        </w:rPr>
        <w:t xml:space="preserve"> rasa </w:t>
      </w:r>
      <w:proofErr w:type="spellStart"/>
      <w:r>
        <w:rPr>
          <w:bCs/>
        </w:rPr>
        <w:t>penasaran</w:t>
      </w:r>
      <w:proofErr w:type="spellEnd"/>
      <w:r>
        <w:rPr>
          <w:bCs/>
        </w:rPr>
        <w:t xml:space="preserve"> para stakeholder </w:t>
      </w:r>
      <w:proofErr w:type="spellStart"/>
      <w:r>
        <w:rPr>
          <w:bCs/>
        </w:rPr>
        <w:t>untuk</w:t>
      </w:r>
      <w:proofErr w:type="spellEnd"/>
      <w:r>
        <w:rPr>
          <w:bCs/>
        </w:rPr>
        <w:t xml:space="preserve"> </w:t>
      </w:r>
      <w:proofErr w:type="spellStart"/>
      <w:r>
        <w:rPr>
          <w:bCs/>
        </w:rPr>
        <w:t>meninjau</w:t>
      </w:r>
      <w:proofErr w:type="spellEnd"/>
      <w:r>
        <w:rPr>
          <w:bCs/>
        </w:rPr>
        <w:t xml:space="preserve"> </w:t>
      </w:r>
      <w:proofErr w:type="spellStart"/>
      <w:r>
        <w:rPr>
          <w:bCs/>
        </w:rPr>
        <w:t>kepedulian</w:t>
      </w:r>
      <w:proofErr w:type="spellEnd"/>
      <w:r>
        <w:rPr>
          <w:bCs/>
        </w:rPr>
        <w:t xml:space="preserve"> </w:t>
      </w:r>
      <w:proofErr w:type="spellStart"/>
      <w:r>
        <w:rPr>
          <w:bCs/>
        </w:rPr>
        <w:t>perusahaan</w:t>
      </w:r>
      <w:proofErr w:type="spellEnd"/>
      <w:r>
        <w:rPr>
          <w:bCs/>
        </w:rPr>
        <w:t xml:space="preserve"> pada </w:t>
      </w:r>
      <w:proofErr w:type="spellStart"/>
      <w:r>
        <w:rPr>
          <w:bCs/>
        </w:rPr>
        <w:t>aspek</w:t>
      </w:r>
      <w:proofErr w:type="spellEnd"/>
      <w:r>
        <w:rPr>
          <w:bCs/>
        </w:rPr>
        <w:t xml:space="preserve"> </w:t>
      </w:r>
      <w:proofErr w:type="spellStart"/>
      <w:r>
        <w:rPr>
          <w:bCs/>
        </w:rPr>
        <w:t>sosial</w:t>
      </w:r>
      <w:proofErr w:type="spellEnd"/>
      <w:r>
        <w:rPr>
          <w:bCs/>
        </w:rPr>
        <w:t xml:space="preserve"> dan </w:t>
      </w:r>
      <w:proofErr w:type="spellStart"/>
      <w:r>
        <w:rPr>
          <w:bCs/>
        </w:rPr>
        <w:lastRenderedPageBreak/>
        <w:t>lingkungan</w:t>
      </w:r>
      <w:proofErr w:type="spellEnd"/>
      <w:r>
        <w:rPr>
          <w:bCs/>
        </w:rPr>
        <w:t xml:space="preserve"> </w:t>
      </w:r>
      <w:proofErr w:type="spellStart"/>
      <w:r>
        <w:rPr>
          <w:bCs/>
        </w:rPr>
        <w:t>karena</w:t>
      </w:r>
      <w:proofErr w:type="spellEnd"/>
      <w:r>
        <w:rPr>
          <w:bCs/>
        </w:rPr>
        <w:t xml:space="preserve"> </w:t>
      </w:r>
      <w:proofErr w:type="spellStart"/>
      <w:r>
        <w:rPr>
          <w:bCs/>
        </w:rPr>
        <w:t>diyakini</w:t>
      </w:r>
      <w:proofErr w:type="spellEnd"/>
      <w:r>
        <w:rPr>
          <w:bCs/>
        </w:rPr>
        <w:t xml:space="preserve"> </w:t>
      </w:r>
      <w:proofErr w:type="spellStart"/>
      <w:r>
        <w:rPr>
          <w:bCs/>
        </w:rPr>
        <w:t>bahwa</w:t>
      </w:r>
      <w:proofErr w:type="spellEnd"/>
      <w:r>
        <w:rPr>
          <w:bCs/>
        </w:rPr>
        <w:t xml:space="preserve"> </w:t>
      </w:r>
      <w:proofErr w:type="spellStart"/>
      <w:r>
        <w:rPr>
          <w:bCs/>
        </w:rPr>
        <w:t>perusahaan</w:t>
      </w:r>
      <w:proofErr w:type="spellEnd"/>
      <w:r>
        <w:rPr>
          <w:bCs/>
        </w:rPr>
        <w:t xml:space="preserve"> yang </w:t>
      </w:r>
      <w:proofErr w:type="spellStart"/>
      <w:r>
        <w:rPr>
          <w:bCs/>
        </w:rPr>
        <w:t>menuju</w:t>
      </w:r>
      <w:proofErr w:type="spellEnd"/>
      <w:r>
        <w:rPr>
          <w:bCs/>
        </w:rPr>
        <w:t xml:space="preserve"> SDGs </w:t>
      </w:r>
      <w:proofErr w:type="spellStart"/>
      <w:r>
        <w:rPr>
          <w:bCs/>
        </w:rPr>
        <w:t>adalah</w:t>
      </w:r>
      <w:proofErr w:type="spellEnd"/>
      <w:r>
        <w:rPr>
          <w:bCs/>
        </w:rPr>
        <w:t xml:space="preserve"> </w:t>
      </w:r>
      <w:proofErr w:type="spellStart"/>
      <w:r>
        <w:rPr>
          <w:bCs/>
        </w:rPr>
        <w:t>perusahaan</w:t>
      </w:r>
      <w:proofErr w:type="spellEnd"/>
      <w:r>
        <w:rPr>
          <w:bCs/>
        </w:rPr>
        <w:t xml:space="preserve"> yang </w:t>
      </w:r>
      <w:proofErr w:type="spellStart"/>
      <w:r>
        <w:rPr>
          <w:bCs/>
        </w:rPr>
        <w:t>memiliki</w:t>
      </w:r>
      <w:proofErr w:type="spellEnd"/>
      <w:r>
        <w:rPr>
          <w:bCs/>
        </w:rPr>
        <w:t xml:space="preserve"> </w:t>
      </w:r>
      <w:proofErr w:type="spellStart"/>
      <w:r>
        <w:rPr>
          <w:bCs/>
        </w:rPr>
        <w:t>tanggung</w:t>
      </w:r>
      <w:proofErr w:type="spellEnd"/>
      <w:r>
        <w:rPr>
          <w:bCs/>
        </w:rPr>
        <w:t xml:space="preserve"> </w:t>
      </w:r>
      <w:proofErr w:type="spellStart"/>
      <w:r>
        <w:rPr>
          <w:bCs/>
        </w:rPr>
        <w:t>jawab</w:t>
      </w:r>
      <w:proofErr w:type="spellEnd"/>
      <w:r>
        <w:rPr>
          <w:bCs/>
        </w:rPr>
        <w:t xml:space="preserve"> </w:t>
      </w:r>
      <w:proofErr w:type="spellStart"/>
      <w:r>
        <w:rPr>
          <w:bCs/>
        </w:rPr>
        <w:t>sosial</w:t>
      </w:r>
      <w:proofErr w:type="spellEnd"/>
      <w:r>
        <w:rPr>
          <w:bCs/>
        </w:rPr>
        <w:t xml:space="preserve"> dan </w:t>
      </w:r>
      <w:proofErr w:type="spellStart"/>
      <w:r>
        <w:rPr>
          <w:bCs/>
        </w:rPr>
        <w:t>lingkungan</w:t>
      </w:r>
      <w:proofErr w:type="spellEnd"/>
      <w:r>
        <w:rPr>
          <w:bCs/>
        </w:rPr>
        <w:t xml:space="preserve">. </w:t>
      </w:r>
      <w:proofErr w:type="spellStart"/>
      <w:r>
        <w:rPr>
          <w:bCs/>
        </w:rPr>
        <w:t>Dalam</w:t>
      </w:r>
      <w:proofErr w:type="spellEnd"/>
      <w:r>
        <w:rPr>
          <w:bCs/>
        </w:rPr>
        <w:t xml:space="preserve"> </w:t>
      </w:r>
      <w:proofErr w:type="spellStart"/>
      <w:r>
        <w:rPr>
          <w:bCs/>
        </w:rPr>
        <w:t>hal</w:t>
      </w:r>
      <w:proofErr w:type="spellEnd"/>
      <w:r>
        <w:rPr>
          <w:bCs/>
        </w:rPr>
        <w:t xml:space="preserve"> </w:t>
      </w:r>
      <w:proofErr w:type="spellStart"/>
      <w:r>
        <w:rPr>
          <w:bCs/>
        </w:rPr>
        <w:t>ini</w:t>
      </w:r>
      <w:proofErr w:type="spellEnd"/>
      <w:r>
        <w:rPr>
          <w:bCs/>
        </w:rPr>
        <w:t xml:space="preserve"> </w:t>
      </w:r>
      <w:proofErr w:type="spellStart"/>
      <w:r>
        <w:rPr>
          <w:bCs/>
        </w:rPr>
        <w:t>meningkatkan</w:t>
      </w:r>
      <w:proofErr w:type="spellEnd"/>
      <w:r>
        <w:rPr>
          <w:bCs/>
        </w:rPr>
        <w:t xml:space="preserve"> </w:t>
      </w:r>
      <w:proofErr w:type="spellStart"/>
      <w:r>
        <w:rPr>
          <w:bCs/>
        </w:rPr>
        <w:t>kualitas</w:t>
      </w:r>
      <w:proofErr w:type="spellEnd"/>
      <w:r>
        <w:rPr>
          <w:bCs/>
        </w:rPr>
        <w:t xml:space="preserve"> </w:t>
      </w:r>
      <w:proofErr w:type="spellStart"/>
      <w:r>
        <w:rPr>
          <w:bCs/>
        </w:rPr>
        <w:t>pengungkapan</w:t>
      </w:r>
      <w:proofErr w:type="spellEnd"/>
      <w:r>
        <w:rPr>
          <w:bCs/>
        </w:rPr>
        <w:t xml:space="preserve"> </w:t>
      </w:r>
      <w:proofErr w:type="spellStart"/>
      <w:r>
        <w:rPr>
          <w:bCs/>
        </w:rPr>
        <w:t>tanggung</w:t>
      </w:r>
      <w:proofErr w:type="spellEnd"/>
      <w:r>
        <w:rPr>
          <w:bCs/>
        </w:rPr>
        <w:t xml:space="preserve"> </w:t>
      </w:r>
      <w:proofErr w:type="spellStart"/>
      <w:r>
        <w:rPr>
          <w:bCs/>
        </w:rPr>
        <w:t>jawab</w:t>
      </w:r>
      <w:proofErr w:type="spellEnd"/>
      <w:r>
        <w:rPr>
          <w:bCs/>
        </w:rPr>
        <w:t xml:space="preserve"> </w:t>
      </w:r>
      <w:proofErr w:type="spellStart"/>
      <w:r>
        <w:rPr>
          <w:bCs/>
        </w:rPr>
        <w:t>sosial</w:t>
      </w:r>
      <w:proofErr w:type="spellEnd"/>
      <w:r>
        <w:rPr>
          <w:bCs/>
        </w:rPr>
        <w:t xml:space="preserve"> </w:t>
      </w:r>
      <w:proofErr w:type="spellStart"/>
      <w:r>
        <w:rPr>
          <w:bCs/>
        </w:rPr>
        <w:t>adalah</w:t>
      </w:r>
      <w:proofErr w:type="spellEnd"/>
      <w:r>
        <w:rPr>
          <w:bCs/>
        </w:rPr>
        <w:t xml:space="preserve"> </w:t>
      </w:r>
      <w:proofErr w:type="spellStart"/>
      <w:r>
        <w:rPr>
          <w:bCs/>
        </w:rPr>
        <w:t>sinyal</w:t>
      </w:r>
      <w:proofErr w:type="spellEnd"/>
      <w:r>
        <w:rPr>
          <w:bCs/>
        </w:rPr>
        <w:t xml:space="preserve"> </w:t>
      </w:r>
      <w:proofErr w:type="spellStart"/>
      <w:r>
        <w:rPr>
          <w:bCs/>
        </w:rPr>
        <w:t>pendukung</w:t>
      </w:r>
      <w:proofErr w:type="spellEnd"/>
      <w:r>
        <w:rPr>
          <w:bCs/>
        </w:rPr>
        <w:t xml:space="preserve"> yang </w:t>
      </w:r>
      <w:proofErr w:type="spellStart"/>
      <w:r>
        <w:rPr>
          <w:bCs/>
        </w:rPr>
        <w:t>harus</w:t>
      </w:r>
      <w:proofErr w:type="spellEnd"/>
      <w:r>
        <w:rPr>
          <w:bCs/>
        </w:rPr>
        <w:t xml:space="preserve"> </w:t>
      </w:r>
      <w:proofErr w:type="spellStart"/>
      <w:r>
        <w:rPr>
          <w:bCs/>
        </w:rPr>
        <w:t>dimiliki</w:t>
      </w:r>
      <w:proofErr w:type="spellEnd"/>
      <w:r>
        <w:rPr>
          <w:bCs/>
        </w:rPr>
        <w:t xml:space="preserve"> </w:t>
      </w:r>
      <w:proofErr w:type="spellStart"/>
      <w:r>
        <w:rPr>
          <w:bCs/>
        </w:rPr>
        <w:t>perusahaan</w:t>
      </w:r>
      <w:proofErr w:type="spellEnd"/>
      <w:r>
        <w:rPr>
          <w:bCs/>
        </w:rPr>
        <w:t xml:space="preserve"> </w:t>
      </w:r>
      <w:proofErr w:type="spellStart"/>
      <w:r>
        <w:rPr>
          <w:bCs/>
        </w:rPr>
        <w:t>untuk</w:t>
      </w:r>
      <w:proofErr w:type="spellEnd"/>
      <w:r>
        <w:rPr>
          <w:bCs/>
        </w:rPr>
        <w:t xml:space="preserve"> </w:t>
      </w:r>
      <w:proofErr w:type="spellStart"/>
      <w:r>
        <w:rPr>
          <w:bCs/>
        </w:rPr>
        <w:t>mempertahankan</w:t>
      </w:r>
      <w:proofErr w:type="spellEnd"/>
      <w:r>
        <w:rPr>
          <w:bCs/>
        </w:rPr>
        <w:t xml:space="preserve"> </w:t>
      </w:r>
      <w:proofErr w:type="spellStart"/>
      <w:r>
        <w:rPr>
          <w:bCs/>
        </w:rPr>
        <w:t>kepercayaan</w:t>
      </w:r>
      <w:proofErr w:type="spellEnd"/>
      <w:r>
        <w:rPr>
          <w:bCs/>
        </w:rPr>
        <w:t xml:space="preserve"> para </w:t>
      </w:r>
      <w:proofErr w:type="spellStart"/>
      <w:r>
        <w:rPr>
          <w:bCs/>
        </w:rPr>
        <w:t>pihak</w:t>
      </w:r>
      <w:proofErr w:type="spellEnd"/>
      <w:r>
        <w:rPr>
          <w:bCs/>
        </w:rPr>
        <w:t xml:space="preserve"> yang </w:t>
      </w:r>
      <w:proofErr w:type="spellStart"/>
      <w:r>
        <w:rPr>
          <w:bCs/>
        </w:rPr>
        <w:t>berkepentingan</w:t>
      </w:r>
      <w:proofErr w:type="spellEnd"/>
      <w:r>
        <w:rPr>
          <w:bCs/>
        </w:rPr>
        <w:t>.</w:t>
      </w:r>
    </w:p>
    <w:p w14:paraId="04CA34E7" w14:textId="412E178C" w:rsidR="00024F6A" w:rsidRPr="003045AB" w:rsidRDefault="003045AB" w:rsidP="00C21210">
      <w:pPr>
        <w:pStyle w:val="BodyText"/>
        <w:spacing w:before="1"/>
        <w:ind w:left="284" w:firstLine="436"/>
        <w:rPr>
          <w:bCs/>
        </w:rPr>
      </w:pPr>
      <w:r>
        <w:rPr>
          <w:bCs/>
        </w:rPr>
        <w:t>Convergent Validity 1</w:t>
      </w:r>
      <w:r w:rsidRPr="003045AB">
        <w:rPr>
          <w:bCs/>
          <w:vertAlign w:val="superscript"/>
        </w:rPr>
        <w:t>st</w:t>
      </w:r>
      <w:r>
        <w:rPr>
          <w:bCs/>
        </w:rPr>
        <w:t xml:space="preserve"> Order dan 2</w:t>
      </w:r>
      <w:r w:rsidRPr="003045AB">
        <w:rPr>
          <w:bCs/>
          <w:vertAlign w:val="superscript"/>
        </w:rPr>
        <w:t>nd</w:t>
      </w:r>
      <w:r>
        <w:rPr>
          <w:bCs/>
        </w:rPr>
        <w:t xml:space="preserve"> Order </w:t>
      </w:r>
      <w:proofErr w:type="spellStart"/>
      <w:r>
        <w:rPr>
          <w:bCs/>
        </w:rPr>
        <w:t>dimaksudkan</w:t>
      </w:r>
      <w:proofErr w:type="spellEnd"/>
      <w:r>
        <w:rPr>
          <w:bCs/>
        </w:rPr>
        <w:t xml:space="preserve"> </w:t>
      </w:r>
      <w:proofErr w:type="spellStart"/>
      <w:r>
        <w:rPr>
          <w:bCs/>
        </w:rPr>
        <w:t>untuk</w:t>
      </w:r>
      <w:proofErr w:type="spellEnd"/>
      <w:r>
        <w:rPr>
          <w:bCs/>
        </w:rPr>
        <w:t xml:space="preserve"> </w:t>
      </w:r>
      <w:proofErr w:type="spellStart"/>
      <w:r>
        <w:rPr>
          <w:bCs/>
        </w:rPr>
        <w:t>mengetahui</w:t>
      </w:r>
      <w:proofErr w:type="spellEnd"/>
      <w:r>
        <w:rPr>
          <w:bCs/>
        </w:rPr>
        <w:t xml:space="preserve"> valid </w:t>
      </w:r>
      <w:proofErr w:type="spellStart"/>
      <w:r>
        <w:rPr>
          <w:bCs/>
        </w:rPr>
        <w:t>tidaknya</w:t>
      </w:r>
      <w:proofErr w:type="spellEnd"/>
      <w:r>
        <w:rPr>
          <w:bCs/>
        </w:rPr>
        <w:t xml:space="preserve"> </w:t>
      </w:r>
      <w:proofErr w:type="spellStart"/>
      <w:r>
        <w:rPr>
          <w:bCs/>
        </w:rPr>
        <w:t>indikator</w:t>
      </w:r>
      <w:proofErr w:type="spellEnd"/>
      <w:r>
        <w:rPr>
          <w:bCs/>
        </w:rPr>
        <w:t xml:space="preserve"> </w:t>
      </w:r>
      <w:proofErr w:type="spellStart"/>
      <w:r>
        <w:rPr>
          <w:bCs/>
        </w:rPr>
        <w:t>dalam</w:t>
      </w:r>
      <w:proofErr w:type="spellEnd"/>
      <w:r>
        <w:rPr>
          <w:bCs/>
        </w:rPr>
        <w:t xml:space="preserve"> </w:t>
      </w:r>
      <w:proofErr w:type="spellStart"/>
      <w:r>
        <w:rPr>
          <w:bCs/>
        </w:rPr>
        <w:t>mengukur</w:t>
      </w:r>
      <w:proofErr w:type="spellEnd"/>
      <w:r>
        <w:rPr>
          <w:bCs/>
        </w:rPr>
        <w:t xml:space="preserve"> </w:t>
      </w:r>
      <w:proofErr w:type="spellStart"/>
      <w:r>
        <w:rPr>
          <w:bCs/>
        </w:rPr>
        <w:t>suatu</w:t>
      </w:r>
      <w:proofErr w:type="spellEnd"/>
      <w:r>
        <w:rPr>
          <w:bCs/>
        </w:rPr>
        <w:t xml:space="preserve"> </w:t>
      </w:r>
      <w:proofErr w:type="spellStart"/>
      <w:r>
        <w:rPr>
          <w:bCs/>
        </w:rPr>
        <w:t>dimensi</w:t>
      </w:r>
      <w:proofErr w:type="spellEnd"/>
      <w:r>
        <w:rPr>
          <w:bCs/>
        </w:rPr>
        <w:t xml:space="preserve"> </w:t>
      </w:r>
      <w:proofErr w:type="spellStart"/>
      <w:r>
        <w:rPr>
          <w:bCs/>
        </w:rPr>
        <w:t>atau</w:t>
      </w:r>
      <w:proofErr w:type="spellEnd"/>
      <w:r>
        <w:rPr>
          <w:bCs/>
        </w:rPr>
        <w:t xml:space="preserve"> </w:t>
      </w:r>
      <w:proofErr w:type="spellStart"/>
      <w:r>
        <w:rPr>
          <w:bCs/>
        </w:rPr>
        <w:t>variabel</w:t>
      </w:r>
      <w:proofErr w:type="spellEnd"/>
      <w:r>
        <w:rPr>
          <w:bCs/>
        </w:rPr>
        <w:t xml:space="preserve">. </w:t>
      </w:r>
      <w:proofErr w:type="spellStart"/>
      <w:r>
        <w:rPr>
          <w:bCs/>
        </w:rPr>
        <w:t>Suatu</w:t>
      </w:r>
      <w:proofErr w:type="spellEnd"/>
      <w:r>
        <w:rPr>
          <w:bCs/>
        </w:rPr>
        <w:t xml:space="preserve"> </w:t>
      </w:r>
      <w:proofErr w:type="spellStart"/>
      <w:r>
        <w:rPr>
          <w:bCs/>
        </w:rPr>
        <w:t>indikator</w:t>
      </w:r>
      <w:proofErr w:type="spellEnd"/>
      <w:r>
        <w:rPr>
          <w:bCs/>
        </w:rPr>
        <w:t xml:space="preserve"> </w:t>
      </w:r>
      <w:proofErr w:type="spellStart"/>
      <w:r>
        <w:rPr>
          <w:bCs/>
        </w:rPr>
        <w:t>dikatakan</w:t>
      </w:r>
      <w:proofErr w:type="spellEnd"/>
      <w:r>
        <w:rPr>
          <w:bCs/>
        </w:rPr>
        <w:t xml:space="preserve"> valid </w:t>
      </w:r>
      <w:proofErr w:type="spellStart"/>
      <w:r>
        <w:rPr>
          <w:bCs/>
        </w:rPr>
        <w:t>apabila</w:t>
      </w:r>
      <w:proofErr w:type="spellEnd"/>
      <w:r>
        <w:rPr>
          <w:bCs/>
        </w:rPr>
        <w:t xml:space="preserve"> loading </w:t>
      </w:r>
      <w:proofErr w:type="spellStart"/>
      <w:r>
        <w:rPr>
          <w:bCs/>
        </w:rPr>
        <w:t>faktor</w:t>
      </w:r>
      <w:proofErr w:type="spellEnd"/>
      <w:r>
        <w:rPr>
          <w:bCs/>
        </w:rPr>
        <w:t xml:space="preserve"> </w:t>
      </w:r>
      <w:proofErr w:type="spellStart"/>
      <w:r>
        <w:rPr>
          <w:bCs/>
        </w:rPr>
        <w:t>bernilai</w:t>
      </w:r>
      <w:proofErr w:type="spellEnd"/>
      <w:r>
        <w:rPr>
          <w:bCs/>
        </w:rPr>
        <w:t xml:space="preserve"> </w:t>
      </w:r>
      <w:proofErr w:type="spellStart"/>
      <w:r>
        <w:rPr>
          <w:bCs/>
        </w:rPr>
        <w:t>positif</w:t>
      </w:r>
      <w:proofErr w:type="spellEnd"/>
      <w:r>
        <w:rPr>
          <w:bCs/>
        </w:rPr>
        <w:t xml:space="preserve"> dan </w:t>
      </w:r>
      <w:proofErr w:type="spellStart"/>
      <w:r>
        <w:rPr>
          <w:bCs/>
        </w:rPr>
        <w:t>lebih</w:t>
      </w:r>
      <w:proofErr w:type="spellEnd"/>
      <w:r>
        <w:rPr>
          <w:bCs/>
        </w:rPr>
        <w:t xml:space="preserve"> </w:t>
      </w:r>
      <w:proofErr w:type="spellStart"/>
      <w:r>
        <w:rPr>
          <w:bCs/>
        </w:rPr>
        <w:t>besar</w:t>
      </w:r>
      <w:proofErr w:type="spellEnd"/>
      <w:r>
        <w:rPr>
          <w:bCs/>
        </w:rPr>
        <w:t xml:space="preserve"> </w:t>
      </w:r>
      <w:proofErr w:type="spellStart"/>
      <w:r>
        <w:rPr>
          <w:bCs/>
        </w:rPr>
        <w:t>dari</w:t>
      </w:r>
      <w:proofErr w:type="spellEnd"/>
      <w:r>
        <w:rPr>
          <w:bCs/>
        </w:rPr>
        <w:t xml:space="preserve"> 0.6. </w:t>
      </w:r>
      <w:proofErr w:type="spellStart"/>
      <w:r>
        <w:rPr>
          <w:bCs/>
        </w:rPr>
        <w:t>Pengujian</w:t>
      </w:r>
      <w:proofErr w:type="spellEnd"/>
      <w:r>
        <w:rPr>
          <w:bCs/>
        </w:rPr>
        <w:t xml:space="preserve"> </w:t>
      </w:r>
      <w:proofErr w:type="spellStart"/>
      <w:r>
        <w:rPr>
          <w:bCs/>
        </w:rPr>
        <w:t>reliabilitas</w:t>
      </w:r>
      <w:proofErr w:type="spellEnd"/>
      <w:r>
        <w:rPr>
          <w:bCs/>
        </w:rPr>
        <w:t xml:space="preserve"> </w:t>
      </w:r>
      <w:proofErr w:type="spellStart"/>
      <w:r>
        <w:rPr>
          <w:bCs/>
        </w:rPr>
        <w:t>dimaksudkan</w:t>
      </w:r>
      <w:proofErr w:type="spellEnd"/>
      <w:r>
        <w:rPr>
          <w:bCs/>
        </w:rPr>
        <w:t xml:space="preserve"> </w:t>
      </w:r>
      <w:proofErr w:type="spellStart"/>
      <w:r>
        <w:rPr>
          <w:bCs/>
        </w:rPr>
        <w:t>untuk</w:t>
      </w:r>
      <w:proofErr w:type="spellEnd"/>
      <w:r>
        <w:rPr>
          <w:bCs/>
        </w:rPr>
        <w:t xml:space="preserve"> </w:t>
      </w:r>
      <w:proofErr w:type="spellStart"/>
      <w:r>
        <w:rPr>
          <w:bCs/>
        </w:rPr>
        <w:t>reliabel</w:t>
      </w:r>
      <w:proofErr w:type="spellEnd"/>
      <w:r>
        <w:rPr>
          <w:bCs/>
        </w:rPr>
        <w:t xml:space="preserve"> </w:t>
      </w:r>
      <w:proofErr w:type="spellStart"/>
      <w:r>
        <w:rPr>
          <w:bCs/>
        </w:rPr>
        <w:t>atau</w:t>
      </w:r>
      <w:proofErr w:type="spellEnd"/>
      <w:r>
        <w:rPr>
          <w:bCs/>
        </w:rPr>
        <w:t xml:space="preserve"> </w:t>
      </w:r>
      <w:proofErr w:type="spellStart"/>
      <w:r>
        <w:rPr>
          <w:bCs/>
        </w:rPr>
        <w:t>tidaknya</w:t>
      </w:r>
      <w:proofErr w:type="spellEnd"/>
      <w:r>
        <w:rPr>
          <w:bCs/>
        </w:rPr>
        <w:t xml:space="preserve"> </w:t>
      </w:r>
      <w:proofErr w:type="spellStart"/>
      <w:r>
        <w:rPr>
          <w:bCs/>
        </w:rPr>
        <w:t>suatu</w:t>
      </w:r>
      <w:proofErr w:type="spellEnd"/>
      <w:r>
        <w:rPr>
          <w:bCs/>
        </w:rPr>
        <w:t xml:space="preserve"> </w:t>
      </w:r>
      <w:proofErr w:type="spellStart"/>
      <w:r>
        <w:rPr>
          <w:bCs/>
        </w:rPr>
        <w:t>konstruk</w:t>
      </w:r>
      <w:proofErr w:type="spellEnd"/>
      <w:r>
        <w:rPr>
          <w:bCs/>
        </w:rPr>
        <w:t xml:space="preserve">. </w:t>
      </w:r>
      <w:proofErr w:type="spellStart"/>
      <w:r>
        <w:rPr>
          <w:bCs/>
        </w:rPr>
        <w:t>Kriteria</w:t>
      </w:r>
      <w:proofErr w:type="spellEnd"/>
      <w:r>
        <w:rPr>
          <w:bCs/>
        </w:rPr>
        <w:t xml:space="preserve"> </w:t>
      </w:r>
      <w:proofErr w:type="spellStart"/>
      <w:r>
        <w:rPr>
          <w:bCs/>
        </w:rPr>
        <w:t>pengujian</w:t>
      </w:r>
      <w:proofErr w:type="spellEnd"/>
      <w:r>
        <w:rPr>
          <w:bCs/>
        </w:rPr>
        <w:t xml:space="preserve"> </w:t>
      </w:r>
      <w:proofErr w:type="spellStart"/>
      <w:r>
        <w:rPr>
          <w:bCs/>
        </w:rPr>
        <w:t>menyatakan</w:t>
      </w:r>
      <w:proofErr w:type="spellEnd"/>
      <w:r>
        <w:rPr>
          <w:bCs/>
        </w:rPr>
        <w:t xml:space="preserve"> </w:t>
      </w:r>
      <w:proofErr w:type="spellStart"/>
      <w:r>
        <w:rPr>
          <w:bCs/>
        </w:rPr>
        <w:t>bahwa</w:t>
      </w:r>
      <w:proofErr w:type="spellEnd"/>
      <w:r>
        <w:rPr>
          <w:bCs/>
        </w:rPr>
        <w:t xml:space="preserve"> </w:t>
      </w:r>
      <w:proofErr w:type="spellStart"/>
      <w:r>
        <w:rPr>
          <w:bCs/>
        </w:rPr>
        <w:t>apabila</w:t>
      </w:r>
      <w:proofErr w:type="spellEnd"/>
      <w:r>
        <w:rPr>
          <w:bCs/>
        </w:rPr>
        <w:t xml:space="preserve"> </w:t>
      </w:r>
      <w:r>
        <w:rPr>
          <w:bCs/>
          <w:i/>
          <w:iCs/>
        </w:rPr>
        <w:t>Cronbach alpha</w:t>
      </w:r>
      <w:r>
        <w:rPr>
          <w:bCs/>
        </w:rPr>
        <w:t xml:space="preserve"> </w:t>
      </w:r>
      <w:proofErr w:type="spellStart"/>
      <w:r>
        <w:rPr>
          <w:bCs/>
        </w:rPr>
        <w:t>bernilai</w:t>
      </w:r>
      <w:proofErr w:type="spellEnd"/>
      <w:r>
        <w:rPr>
          <w:bCs/>
        </w:rPr>
        <w:t xml:space="preserve"> </w:t>
      </w:r>
      <w:proofErr w:type="spellStart"/>
      <w:r>
        <w:rPr>
          <w:bCs/>
        </w:rPr>
        <w:t>lebih</w:t>
      </w:r>
      <w:proofErr w:type="spellEnd"/>
      <w:r>
        <w:rPr>
          <w:bCs/>
        </w:rPr>
        <w:t xml:space="preserve"> </w:t>
      </w:r>
      <w:proofErr w:type="spellStart"/>
      <w:r>
        <w:rPr>
          <w:bCs/>
        </w:rPr>
        <w:t>besar</w:t>
      </w:r>
      <w:proofErr w:type="spellEnd"/>
      <w:r>
        <w:rPr>
          <w:bCs/>
        </w:rPr>
        <w:t xml:space="preserve"> </w:t>
      </w:r>
      <w:proofErr w:type="spellStart"/>
      <w:r>
        <w:rPr>
          <w:bCs/>
        </w:rPr>
        <w:t>dari</w:t>
      </w:r>
      <w:proofErr w:type="spellEnd"/>
      <w:r>
        <w:rPr>
          <w:bCs/>
        </w:rPr>
        <w:t xml:space="preserve"> 0.6 </w:t>
      </w:r>
      <w:proofErr w:type="spellStart"/>
      <w:r>
        <w:rPr>
          <w:bCs/>
        </w:rPr>
        <w:t>maka</w:t>
      </w:r>
      <w:proofErr w:type="spellEnd"/>
      <w:r>
        <w:rPr>
          <w:bCs/>
        </w:rPr>
        <w:t xml:space="preserve"> </w:t>
      </w:r>
      <w:proofErr w:type="spellStart"/>
      <w:r>
        <w:rPr>
          <w:bCs/>
        </w:rPr>
        <w:t>kontstruk</w:t>
      </w:r>
      <w:proofErr w:type="spellEnd"/>
      <w:r>
        <w:rPr>
          <w:bCs/>
        </w:rPr>
        <w:t xml:space="preserve"> </w:t>
      </w:r>
      <w:proofErr w:type="spellStart"/>
      <w:r>
        <w:rPr>
          <w:bCs/>
        </w:rPr>
        <w:t>tersebut</w:t>
      </w:r>
      <w:proofErr w:type="spellEnd"/>
      <w:r>
        <w:rPr>
          <w:bCs/>
        </w:rPr>
        <w:t xml:space="preserve"> </w:t>
      </w:r>
      <w:proofErr w:type="spellStart"/>
      <w:r>
        <w:rPr>
          <w:bCs/>
        </w:rPr>
        <w:t>dinyatakan</w:t>
      </w:r>
      <w:proofErr w:type="spellEnd"/>
      <w:r>
        <w:rPr>
          <w:bCs/>
        </w:rPr>
        <w:t xml:space="preserve"> </w:t>
      </w:r>
      <w:proofErr w:type="spellStart"/>
      <w:r>
        <w:rPr>
          <w:bCs/>
        </w:rPr>
        <w:t>reliabel</w:t>
      </w:r>
      <w:proofErr w:type="spellEnd"/>
      <w:r>
        <w:rPr>
          <w:bCs/>
        </w:rPr>
        <w:t xml:space="preserve">. Hasil </w:t>
      </w:r>
      <w:proofErr w:type="spellStart"/>
      <w:r>
        <w:rPr>
          <w:bCs/>
        </w:rPr>
        <w:t>pengujian</w:t>
      </w:r>
      <w:proofErr w:type="spellEnd"/>
      <w:r>
        <w:rPr>
          <w:bCs/>
        </w:rPr>
        <w:t xml:space="preserve"> </w:t>
      </w:r>
      <w:proofErr w:type="spellStart"/>
      <w:r>
        <w:rPr>
          <w:bCs/>
        </w:rPr>
        <w:t>validitas</w:t>
      </w:r>
      <w:proofErr w:type="spellEnd"/>
      <w:r>
        <w:rPr>
          <w:bCs/>
        </w:rPr>
        <w:t xml:space="preserve"> dan </w:t>
      </w:r>
      <w:proofErr w:type="spellStart"/>
      <w:r>
        <w:rPr>
          <w:bCs/>
        </w:rPr>
        <w:t>reliabilitas</w:t>
      </w:r>
      <w:proofErr w:type="spellEnd"/>
      <w:r>
        <w:rPr>
          <w:bCs/>
        </w:rPr>
        <w:t xml:space="preserve"> </w:t>
      </w:r>
      <w:proofErr w:type="spellStart"/>
      <w:r>
        <w:rPr>
          <w:bCs/>
        </w:rPr>
        <w:t>dapat</w:t>
      </w:r>
      <w:proofErr w:type="spellEnd"/>
      <w:r>
        <w:rPr>
          <w:bCs/>
        </w:rPr>
        <w:t xml:space="preserve"> </w:t>
      </w:r>
      <w:proofErr w:type="spellStart"/>
      <w:r>
        <w:rPr>
          <w:bCs/>
        </w:rPr>
        <w:t>dilihat</w:t>
      </w:r>
      <w:proofErr w:type="spellEnd"/>
      <w:r>
        <w:rPr>
          <w:bCs/>
        </w:rPr>
        <w:t xml:space="preserve"> </w:t>
      </w:r>
      <w:proofErr w:type="spellStart"/>
      <w:r>
        <w:rPr>
          <w:bCs/>
        </w:rPr>
        <w:t>melalui</w:t>
      </w:r>
      <w:proofErr w:type="spellEnd"/>
      <w:r>
        <w:rPr>
          <w:bCs/>
        </w:rPr>
        <w:t xml:space="preserve"> </w:t>
      </w:r>
      <w:proofErr w:type="spellStart"/>
      <w:r>
        <w:rPr>
          <w:bCs/>
        </w:rPr>
        <w:t>ringkasan</w:t>
      </w:r>
      <w:proofErr w:type="spellEnd"/>
      <w:r>
        <w:rPr>
          <w:bCs/>
        </w:rPr>
        <w:t xml:space="preserve"> yang </w:t>
      </w:r>
      <w:proofErr w:type="spellStart"/>
      <w:r>
        <w:rPr>
          <w:bCs/>
        </w:rPr>
        <w:t>disajikan</w:t>
      </w:r>
      <w:proofErr w:type="spellEnd"/>
      <w:r w:rsidR="008A25A0">
        <w:rPr>
          <w:bCs/>
        </w:rPr>
        <w:t xml:space="preserve"> </w:t>
      </w:r>
      <w:proofErr w:type="spellStart"/>
      <w:r>
        <w:rPr>
          <w:bCs/>
        </w:rPr>
        <w:t>dalam</w:t>
      </w:r>
      <w:proofErr w:type="spellEnd"/>
      <w:r>
        <w:rPr>
          <w:bCs/>
        </w:rPr>
        <w:t xml:space="preserve"> </w:t>
      </w:r>
      <w:proofErr w:type="spellStart"/>
      <w:r>
        <w:rPr>
          <w:bCs/>
        </w:rPr>
        <w:t>tabel</w:t>
      </w:r>
      <w:proofErr w:type="spellEnd"/>
      <w:r>
        <w:rPr>
          <w:bCs/>
        </w:rPr>
        <w:t xml:space="preserve"> </w:t>
      </w:r>
      <w:proofErr w:type="spellStart"/>
      <w:r>
        <w:rPr>
          <w:bCs/>
        </w:rPr>
        <w:t>berikut</w:t>
      </w:r>
      <w:proofErr w:type="spellEnd"/>
      <w:r>
        <w:rPr>
          <w:bCs/>
        </w:rPr>
        <w:t>:</w:t>
      </w:r>
    </w:p>
    <w:p w14:paraId="5BCC1F2C" w14:textId="7C0D7824" w:rsidR="004F01DD" w:rsidRDefault="001358D0" w:rsidP="004F01DD">
      <w:pPr>
        <w:pStyle w:val="BodyText"/>
        <w:spacing w:before="7"/>
        <w:rPr>
          <w:sz w:val="18"/>
        </w:rPr>
      </w:pPr>
      <w:r>
        <w:rPr>
          <w:sz w:val="18"/>
        </w:rPr>
        <w:t xml:space="preserve"> </w:t>
      </w:r>
    </w:p>
    <w:p w14:paraId="40D4BBF1" w14:textId="746A909B" w:rsidR="004F01DD" w:rsidRDefault="004F01DD" w:rsidP="004F01DD">
      <w:pPr>
        <w:ind w:left="2229" w:right="2093"/>
        <w:jc w:val="center"/>
        <w:rPr>
          <w:b/>
          <w:sz w:val="20"/>
        </w:rPr>
      </w:pPr>
      <w:r>
        <w:rPr>
          <w:b/>
          <w:sz w:val="20"/>
        </w:rPr>
        <w:t>Table</w:t>
      </w:r>
      <w:r>
        <w:rPr>
          <w:b/>
          <w:spacing w:val="-4"/>
          <w:sz w:val="20"/>
        </w:rPr>
        <w:t xml:space="preserve"> </w:t>
      </w:r>
      <w:r w:rsidR="005C3D4E">
        <w:rPr>
          <w:b/>
          <w:sz w:val="20"/>
        </w:rPr>
        <w:t>4</w:t>
      </w:r>
      <w:r>
        <w:rPr>
          <w:b/>
          <w:spacing w:val="-5"/>
          <w:sz w:val="20"/>
        </w:rPr>
        <w:t xml:space="preserve"> </w:t>
      </w:r>
      <w:r w:rsidR="005C3D4E">
        <w:rPr>
          <w:b/>
          <w:sz w:val="20"/>
        </w:rPr>
        <w:t xml:space="preserve">Convergent Validity </w:t>
      </w:r>
      <w:r w:rsidR="00FE7476">
        <w:rPr>
          <w:b/>
          <w:sz w:val="20"/>
        </w:rPr>
        <w:t>and Reliability</w:t>
      </w:r>
    </w:p>
    <w:p w14:paraId="3C3AE80A" w14:textId="77777777" w:rsidR="004F01DD" w:rsidRDefault="004F01DD" w:rsidP="004F01DD">
      <w:pPr>
        <w:pStyle w:val="BodyText"/>
        <w:spacing w:before="4"/>
        <w:rPr>
          <w:b/>
          <w:sz w:val="25"/>
        </w:rPr>
      </w:pPr>
    </w:p>
    <w:tbl>
      <w:tblPr>
        <w:tblW w:w="9652" w:type="dxa"/>
        <w:jc w:val="center"/>
        <w:tblLayout w:type="fixed"/>
        <w:tblCellMar>
          <w:left w:w="0" w:type="dxa"/>
          <w:right w:w="0" w:type="dxa"/>
        </w:tblCellMar>
        <w:tblLook w:val="01E0" w:firstRow="1" w:lastRow="1" w:firstColumn="1" w:lastColumn="1" w:noHBand="0" w:noVBand="0"/>
      </w:tblPr>
      <w:tblGrid>
        <w:gridCol w:w="1573"/>
        <w:gridCol w:w="3402"/>
        <w:gridCol w:w="1276"/>
        <w:gridCol w:w="1276"/>
        <w:gridCol w:w="2125"/>
      </w:tblGrid>
      <w:tr w:rsidR="00254CCC" w14:paraId="15DC2F45" w14:textId="77777777" w:rsidTr="00C547DC">
        <w:trPr>
          <w:trHeight w:val="316"/>
          <w:jc w:val="center"/>
        </w:trPr>
        <w:tc>
          <w:tcPr>
            <w:tcW w:w="1573" w:type="dxa"/>
            <w:vMerge w:val="restart"/>
            <w:tcBorders>
              <w:top w:val="single" w:sz="4" w:space="0" w:color="000000"/>
              <w:bottom w:val="single" w:sz="4" w:space="0" w:color="000000"/>
            </w:tcBorders>
            <w:shd w:val="clear" w:color="auto" w:fill="E7E6E6"/>
            <w:vAlign w:val="center"/>
          </w:tcPr>
          <w:p w14:paraId="3AE49928" w14:textId="77777777" w:rsidR="00254CCC" w:rsidRDefault="00254CCC" w:rsidP="00C5613A">
            <w:pPr>
              <w:pStyle w:val="TableParagraph"/>
              <w:spacing w:before="2" w:line="240" w:lineRule="auto"/>
              <w:ind w:right="2"/>
              <w:jc w:val="center"/>
              <w:rPr>
                <w:sz w:val="20"/>
              </w:rPr>
            </w:pPr>
            <w:r>
              <w:rPr>
                <w:sz w:val="20"/>
              </w:rPr>
              <w:t>Variable</w:t>
            </w:r>
          </w:p>
        </w:tc>
        <w:tc>
          <w:tcPr>
            <w:tcW w:w="3402" w:type="dxa"/>
            <w:vMerge w:val="restart"/>
            <w:tcBorders>
              <w:top w:val="single" w:sz="4" w:space="0" w:color="000000"/>
            </w:tcBorders>
            <w:shd w:val="clear" w:color="auto" w:fill="E7E6E6"/>
            <w:vAlign w:val="center"/>
          </w:tcPr>
          <w:p w14:paraId="3F294DD8" w14:textId="6F91997C" w:rsidR="00254CCC" w:rsidRDefault="00254CCC" w:rsidP="00C5613A">
            <w:pPr>
              <w:pStyle w:val="TableParagraph"/>
              <w:spacing w:before="2" w:line="223" w:lineRule="exact"/>
              <w:ind w:left="305"/>
              <w:jc w:val="center"/>
              <w:rPr>
                <w:sz w:val="20"/>
              </w:rPr>
            </w:pPr>
            <w:proofErr w:type="spellStart"/>
            <w:r>
              <w:rPr>
                <w:sz w:val="20"/>
              </w:rPr>
              <w:t>Dimensi</w:t>
            </w:r>
            <w:proofErr w:type="spellEnd"/>
          </w:p>
        </w:tc>
        <w:tc>
          <w:tcPr>
            <w:tcW w:w="2552" w:type="dxa"/>
            <w:gridSpan w:val="2"/>
            <w:tcBorders>
              <w:top w:val="single" w:sz="4" w:space="0" w:color="000000"/>
              <w:bottom w:val="single" w:sz="4" w:space="0" w:color="000000"/>
            </w:tcBorders>
            <w:shd w:val="clear" w:color="auto" w:fill="E7E6E6"/>
            <w:vAlign w:val="center"/>
          </w:tcPr>
          <w:p w14:paraId="644CC003" w14:textId="7DDF3E60" w:rsidR="00254CCC" w:rsidRDefault="00C547DC" w:rsidP="00254CCC">
            <w:pPr>
              <w:pStyle w:val="TableParagraph"/>
              <w:spacing w:before="2" w:line="223" w:lineRule="exact"/>
              <w:jc w:val="center"/>
              <w:rPr>
                <w:sz w:val="20"/>
              </w:rPr>
            </w:pPr>
            <w:r>
              <w:rPr>
                <w:sz w:val="20"/>
              </w:rPr>
              <w:t>Validity</w:t>
            </w:r>
          </w:p>
        </w:tc>
        <w:tc>
          <w:tcPr>
            <w:tcW w:w="2125" w:type="dxa"/>
            <w:vMerge w:val="restart"/>
            <w:tcBorders>
              <w:top w:val="single" w:sz="4" w:space="0" w:color="000000"/>
            </w:tcBorders>
            <w:shd w:val="clear" w:color="auto" w:fill="E7E6E6"/>
            <w:vAlign w:val="center"/>
          </w:tcPr>
          <w:p w14:paraId="6F6F249B" w14:textId="6CEABEF9" w:rsidR="00254CCC" w:rsidRDefault="00C547DC" w:rsidP="00254CCC">
            <w:pPr>
              <w:pStyle w:val="TableParagraph"/>
              <w:spacing w:before="2" w:line="223" w:lineRule="exact"/>
              <w:ind w:right="7"/>
              <w:jc w:val="center"/>
              <w:rPr>
                <w:sz w:val="20"/>
              </w:rPr>
            </w:pPr>
            <w:r>
              <w:rPr>
                <w:sz w:val="20"/>
              </w:rPr>
              <w:t>Reliability</w:t>
            </w:r>
          </w:p>
        </w:tc>
      </w:tr>
      <w:tr w:rsidR="00254CCC" w14:paraId="22B18B09" w14:textId="77777777" w:rsidTr="00C547DC">
        <w:trPr>
          <w:trHeight w:val="314"/>
          <w:jc w:val="center"/>
        </w:trPr>
        <w:tc>
          <w:tcPr>
            <w:tcW w:w="1573" w:type="dxa"/>
            <w:vMerge/>
            <w:tcBorders>
              <w:top w:val="nil"/>
              <w:bottom w:val="single" w:sz="4" w:space="0" w:color="000000"/>
            </w:tcBorders>
            <w:shd w:val="clear" w:color="auto" w:fill="E7E6E6"/>
          </w:tcPr>
          <w:p w14:paraId="3B0E1F57" w14:textId="77777777" w:rsidR="00254CCC" w:rsidRDefault="00254CCC" w:rsidP="00A55496">
            <w:pPr>
              <w:rPr>
                <w:sz w:val="2"/>
                <w:szCs w:val="2"/>
              </w:rPr>
            </w:pPr>
          </w:p>
        </w:tc>
        <w:tc>
          <w:tcPr>
            <w:tcW w:w="3402" w:type="dxa"/>
            <w:vMerge/>
            <w:tcBorders>
              <w:bottom w:val="single" w:sz="4" w:space="0" w:color="000000"/>
            </w:tcBorders>
            <w:shd w:val="clear" w:color="auto" w:fill="E7E6E6"/>
          </w:tcPr>
          <w:p w14:paraId="374DAA32" w14:textId="77777777" w:rsidR="00254CCC" w:rsidRDefault="00254CCC" w:rsidP="00FE7476">
            <w:pPr>
              <w:pStyle w:val="TableParagraph"/>
              <w:spacing w:line="224" w:lineRule="exact"/>
              <w:ind w:left="305"/>
              <w:jc w:val="center"/>
              <w:rPr>
                <w:sz w:val="20"/>
              </w:rPr>
            </w:pPr>
          </w:p>
        </w:tc>
        <w:tc>
          <w:tcPr>
            <w:tcW w:w="1276" w:type="dxa"/>
            <w:tcBorders>
              <w:top w:val="single" w:sz="4" w:space="0" w:color="000000"/>
              <w:bottom w:val="single" w:sz="4" w:space="0" w:color="000000"/>
            </w:tcBorders>
            <w:shd w:val="clear" w:color="auto" w:fill="E7E6E6"/>
          </w:tcPr>
          <w:p w14:paraId="27D52C11" w14:textId="4BCE2114" w:rsidR="00254CCC" w:rsidRDefault="00254CCC" w:rsidP="00254CCC">
            <w:pPr>
              <w:pStyle w:val="TableParagraph"/>
              <w:spacing w:line="224" w:lineRule="exact"/>
              <w:jc w:val="center"/>
              <w:rPr>
                <w:sz w:val="20"/>
              </w:rPr>
            </w:pPr>
            <w:r>
              <w:rPr>
                <w:sz w:val="20"/>
              </w:rPr>
              <w:t>1</w:t>
            </w:r>
            <w:r w:rsidRPr="00254CCC">
              <w:rPr>
                <w:sz w:val="20"/>
                <w:vertAlign w:val="superscript"/>
              </w:rPr>
              <w:t>st</w:t>
            </w:r>
            <w:r>
              <w:rPr>
                <w:sz w:val="20"/>
              </w:rPr>
              <w:t xml:space="preserve"> Order</w:t>
            </w:r>
          </w:p>
        </w:tc>
        <w:tc>
          <w:tcPr>
            <w:tcW w:w="1276" w:type="dxa"/>
            <w:tcBorders>
              <w:top w:val="single" w:sz="4" w:space="0" w:color="000000"/>
              <w:bottom w:val="single" w:sz="4" w:space="0" w:color="000000"/>
            </w:tcBorders>
            <w:shd w:val="clear" w:color="auto" w:fill="E7E6E6"/>
          </w:tcPr>
          <w:p w14:paraId="38084B63" w14:textId="4B5A4DC8" w:rsidR="00254CCC" w:rsidRDefault="00023CA8" w:rsidP="00023CA8">
            <w:pPr>
              <w:pStyle w:val="TableParagraph"/>
              <w:spacing w:line="224" w:lineRule="exact"/>
              <w:jc w:val="center"/>
              <w:rPr>
                <w:sz w:val="20"/>
              </w:rPr>
            </w:pPr>
            <w:r>
              <w:rPr>
                <w:sz w:val="20"/>
              </w:rPr>
              <w:t>2</w:t>
            </w:r>
            <w:r w:rsidRPr="00023CA8">
              <w:rPr>
                <w:sz w:val="20"/>
                <w:vertAlign w:val="superscript"/>
              </w:rPr>
              <w:t>nd</w:t>
            </w:r>
            <w:r>
              <w:rPr>
                <w:sz w:val="20"/>
              </w:rPr>
              <w:t xml:space="preserve"> Order</w:t>
            </w:r>
          </w:p>
        </w:tc>
        <w:tc>
          <w:tcPr>
            <w:tcW w:w="2125" w:type="dxa"/>
            <w:vMerge/>
            <w:tcBorders>
              <w:bottom w:val="single" w:sz="4" w:space="0" w:color="000000"/>
            </w:tcBorders>
            <w:shd w:val="clear" w:color="auto" w:fill="E7E6E6"/>
          </w:tcPr>
          <w:p w14:paraId="3140EC2F" w14:textId="0C9038CB" w:rsidR="00254CCC" w:rsidRDefault="00254CCC" w:rsidP="00A55496">
            <w:pPr>
              <w:pStyle w:val="TableParagraph"/>
              <w:spacing w:line="224" w:lineRule="exact"/>
              <w:ind w:left="623" w:right="949"/>
              <w:jc w:val="center"/>
              <w:rPr>
                <w:sz w:val="20"/>
              </w:rPr>
            </w:pPr>
          </w:p>
        </w:tc>
      </w:tr>
      <w:tr w:rsidR="00C5613A" w14:paraId="226174F5" w14:textId="77777777" w:rsidTr="00C547DC">
        <w:trPr>
          <w:trHeight w:val="344"/>
          <w:jc w:val="center"/>
        </w:trPr>
        <w:tc>
          <w:tcPr>
            <w:tcW w:w="1573" w:type="dxa"/>
            <w:vMerge w:val="restart"/>
            <w:tcBorders>
              <w:top w:val="single" w:sz="4" w:space="0" w:color="000000"/>
            </w:tcBorders>
            <w:shd w:val="clear" w:color="auto" w:fill="E7E6E6"/>
            <w:vAlign w:val="center"/>
          </w:tcPr>
          <w:p w14:paraId="102FA872" w14:textId="407F15D7" w:rsidR="00C5613A" w:rsidRDefault="00C5613A" w:rsidP="00C5613A">
            <w:pPr>
              <w:pStyle w:val="TableParagraph"/>
              <w:spacing w:line="243" w:lineRule="exact"/>
              <w:ind w:left="122"/>
              <w:rPr>
                <w:sz w:val="20"/>
              </w:rPr>
            </w:pPr>
            <w:r>
              <w:rPr>
                <w:sz w:val="20"/>
              </w:rPr>
              <w:t>Quality CSRD</w:t>
            </w:r>
          </w:p>
        </w:tc>
        <w:tc>
          <w:tcPr>
            <w:tcW w:w="3402" w:type="dxa"/>
            <w:tcBorders>
              <w:top w:val="single" w:sz="4" w:space="0" w:color="000000"/>
            </w:tcBorders>
            <w:shd w:val="clear" w:color="auto" w:fill="E7E6E6"/>
          </w:tcPr>
          <w:p w14:paraId="0ADE7980" w14:textId="52DEC503" w:rsidR="00C5613A" w:rsidRDefault="00C547DC" w:rsidP="00C547DC">
            <w:pPr>
              <w:pStyle w:val="TableParagraph"/>
              <w:spacing w:line="243" w:lineRule="exact"/>
              <w:ind w:left="-8"/>
              <w:rPr>
                <w:sz w:val="20"/>
              </w:rPr>
            </w:pPr>
            <w:r>
              <w:rPr>
                <w:sz w:val="20"/>
              </w:rPr>
              <w:t>Relevance</w:t>
            </w:r>
          </w:p>
        </w:tc>
        <w:tc>
          <w:tcPr>
            <w:tcW w:w="1276" w:type="dxa"/>
            <w:tcBorders>
              <w:top w:val="single" w:sz="4" w:space="0" w:color="000000"/>
            </w:tcBorders>
            <w:shd w:val="clear" w:color="auto" w:fill="E7E6E6"/>
          </w:tcPr>
          <w:p w14:paraId="0F5DDE88" w14:textId="49A1FAEF" w:rsidR="00C5613A" w:rsidRDefault="00C547DC" w:rsidP="00A55496">
            <w:pPr>
              <w:pStyle w:val="TableParagraph"/>
              <w:spacing w:line="243" w:lineRule="exact"/>
              <w:ind w:left="305" w:right="293"/>
              <w:jc w:val="center"/>
              <w:rPr>
                <w:sz w:val="20"/>
              </w:rPr>
            </w:pPr>
            <w:r>
              <w:rPr>
                <w:sz w:val="20"/>
              </w:rPr>
              <w:t>0.866</w:t>
            </w:r>
          </w:p>
        </w:tc>
        <w:tc>
          <w:tcPr>
            <w:tcW w:w="1276" w:type="dxa"/>
            <w:tcBorders>
              <w:top w:val="single" w:sz="4" w:space="0" w:color="000000"/>
            </w:tcBorders>
            <w:shd w:val="clear" w:color="auto" w:fill="E7E6E6"/>
          </w:tcPr>
          <w:p w14:paraId="1F2EB4F7" w14:textId="419AF43C" w:rsidR="00C5613A" w:rsidRDefault="00C547DC" w:rsidP="00A55496">
            <w:pPr>
              <w:pStyle w:val="TableParagraph"/>
              <w:spacing w:line="243" w:lineRule="exact"/>
              <w:ind w:left="342"/>
              <w:rPr>
                <w:sz w:val="20"/>
              </w:rPr>
            </w:pPr>
            <w:r>
              <w:rPr>
                <w:sz w:val="20"/>
              </w:rPr>
              <w:t>0.892</w:t>
            </w:r>
          </w:p>
        </w:tc>
        <w:tc>
          <w:tcPr>
            <w:tcW w:w="2125" w:type="dxa"/>
            <w:tcBorders>
              <w:top w:val="single" w:sz="4" w:space="0" w:color="000000"/>
            </w:tcBorders>
            <w:shd w:val="clear" w:color="auto" w:fill="E7E6E6"/>
          </w:tcPr>
          <w:p w14:paraId="5DE12BFD" w14:textId="55280849" w:rsidR="00C5613A" w:rsidRDefault="00C547DC" w:rsidP="00C547DC">
            <w:pPr>
              <w:pStyle w:val="TableParagraph"/>
              <w:spacing w:line="243" w:lineRule="exact"/>
              <w:jc w:val="center"/>
              <w:rPr>
                <w:sz w:val="20"/>
              </w:rPr>
            </w:pPr>
            <w:r>
              <w:rPr>
                <w:sz w:val="20"/>
              </w:rPr>
              <w:t>0.666</w:t>
            </w:r>
          </w:p>
        </w:tc>
      </w:tr>
      <w:tr w:rsidR="00C5613A" w14:paraId="7F0E8826" w14:textId="77777777" w:rsidTr="00C547DC">
        <w:trPr>
          <w:trHeight w:val="313"/>
          <w:jc w:val="center"/>
        </w:trPr>
        <w:tc>
          <w:tcPr>
            <w:tcW w:w="1573" w:type="dxa"/>
            <w:vMerge/>
            <w:shd w:val="clear" w:color="auto" w:fill="E7E6E6"/>
          </w:tcPr>
          <w:p w14:paraId="4A041287" w14:textId="47CC67C0" w:rsidR="00C5613A" w:rsidRDefault="00C5613A" w:rsidP="00A55496">
            <w:pPr>
              <w:pStyle w:val="TableParagraph"/>
              <w:ind w:left="122"/>
              <w:rPr>
                <w:sz w:val="20"/>
              </w:rPr>
            </w:pPr>
          </w:p>
        </w:tc>
        <w:tc>
          <w:tcPr>
            <w:tcW w:w="3402" w:type="dxa"/>
            <w:shd w:val="clear" w:color="auto" w:fill="E7E6E6"/>
          </w:tcPr>
          <w:p w14:paraId="799BD943" w14:textId="36901EE8" w:rsidR="00C5613A" w:rsidRDefault="00C547DC" w:rsidP="00C547DC">
            <w:pPr>
              <w:pStyle w:val="TableParagraph"/>
              <w:rPr>
                <w:sz w:val="20"/>
              </w:rPr>
            </w:pPr>
            <w:r>
              <w:rPr>
                <w:sz w:val="20"/>
              </w:rPr>
              <w:t>Faithful Representation</w:t>
            </w:r>
          </w:p>
        </w:tc>
        <w:tc>
          <w:tcPr>
            <w:tcW w:w="1276" w:type="dxa"/>
            <w:shd w:val="clear" w:color="auto" w:fill="E7E6E6"/>
          </w:tcPr>
          <w:p w14:paraId="1947AB79" w14:textId="169117D2" w:rsidR="00C5613A" w:rsidRDefault="00C5613A" w:rsidP="00A55496">
            <w:pPr>
              <w:pStyle w:val="TableParagraph"/>
              <w:ind w:left="305" w:right="297"/>
              <w:jc w:val="center"/>
              <w:rPr>
                <w:sz w:val="20"/>
              </w:rPr>
            </w:pPr>
            <w:r>
              <w:rPr>
                <w:sz w:val="20"/>
              </w:rPr>
              <w:t>0</w:t>
            </w:r>
            <w:r w:rsidR="00C547DC">
              <w:rPr>
                <w:sz w:val="20"/>
              </w:rPr>
              <w:t>.883</w:t>
            </w:r>
          </w:p>
        </w:tc>
        <w:tc>
          <w:tcPr>
            <w:tcW w:w="1276" w:type="dxa"/>
            <w:shd w:val="clear" w:color="auto" w:fill="E7E6E6"/>
          </w:tcPr>
          <w:p w14:paraId="6D8A000B" w14:textId="3B8C6A91" w:rsidR="00C5613A" w:rsidRDefault="00C547DC" w:rsidP="00A55496">
            <w:pPr>
              <w:pStyle w:val="TableParagraph"/>
              <w:ind w:left="330"/>
              <w:rPr>
                <w:sz w:val="20"/>
              </w:rPr>
            </w:pPr>
            <w:r>
              <w:rPr>
                <w:sz w:val="20"/>
              </w:rPr>
              <w:t>0.899</w:t>
            </w:r>
          </w:p>
        </w:tc>
        <w:tc>
          <w:tcPr>
            <w:tcW w:w="2125" w:type="dxa"/>
            <w:shd w:val="clear" w:color="auto" w:fill="E7E6E6"/>
          </w:tcPr>
          <w:p w14:paraId="6230A3F3" w14:textId="5A9B7E17" w:rsidR="00C5613A" w:rsidRDefault="00C547DC" w:rsidP="00C547DC">
            <w:pPr>
              <w:pStyle w:val="TableParagraph"/>
              <w:jc w:val="center"/>
              <w:rPr>
                <w:sz w:val="20"/>
              </w:rPr>
            </w:pPr>
            <w:r>
              <w:rPr>
                <w:sz w:val="20"/>
              </w:rPr>
              <w:t>0.727</w:t>
            </w:r>
          </w:p>
        </w:tc>
      </w:tr>
      <w:tr w:rsidR="00C5613A" w14:paraId="3AD84781" w14:textId="77777777" w:rsidTr="00C547DC">
        <w:trPr>
          <w:trHeight w:val="314"/>
          <w:jc w:val="center"/>
        </w:trPr>
        <w:tc>
          <w:tcPr>
            <w:tcW w:w="1573" w:type="dxa"/>
            <w:vMerge/>
            <w:shd w:val="clear" w:color="auto" w:fill="E7E6E6"/>
          </w:tcPr>
          <w:p w14:paraId="62425954" w14:textId="49D6B856" w:rsidR="00C5613A" w:rsidRDefault="00C5613A" w:rsidP="00A55496">
            <w:pPr>
              <w:pStyle w:val="TableParagraph"/>
              <w:ind w:left="122"/>
              <w:rPr>
                <w:sz w:val="20"/>
              </w:rPr>
            </w:pPr>
          </w:p>
        </w:tc>
        <w:tc>
          <w:tcPr>
            <w:tcW w:w="3402" w:type="dxa"/>
            <w:shd w:val="clear" w:color="auto" w:fill="E7E6E6"/>
          </w:tcPr>
          <w:p w14:paraId="48C73057" w14:textId="55F60DCE" w:rsidR="00C5613A" w:rsidRDefault="00C547DC" w:rsidP="00C547DC">
            <w:pPr>
              <w:pStyle w:val="TableParagraph"/>
              <w:rPr>
                <w:sz w:val="20"/>
              </w:rPr>
            </w:pPr>
            <w:r>
              <w:rPr>
                <w:sz w:val="20"/>
              </w:rPr>
              <w:t>Understandability</w:t>
            </w:r>
          </w:p>
        </w:tc>
        <w:tc>
          <w:tcPr>
            <w:tcW w:w="1276" w:type="dxa"/>
            <w:shd w:val="clear" w:color="auto" w:fill="E7E6E6"/>
          </w:tcPr>
          <w:p w14:paraId="2669C8BA" w14:textId="20544D9A" w:rsidR="00C5613A" w:rsidRDefault="00C5613A" w:rsidP="00A55496">
            <w:pPr>
              <w:pStyle w:val="TableParagraph"/>
              <w:ind w:left="305" w:right="296"/>
              <w:jc w:val="center"/>
              <w:rPr>
                <w:sz w:val="20"/>
              </w:rPr>
            </w:pPr>
            <w:r>
              <w:rPr>
                <w:sz w:val="20"/>
              </w:rPr>
              <w:t>0.</w:t>
            </w:r>
            <w:r w:rsidR="00C547DC">
              <w:rPr>
                <w:sz w:val="20"/>
              </w:rPr>
              <w:t>927</w:t>
            </w:r>
          </w:p>
        </w:tc>
        <w:tc>
          <w:tcPr>
            <w:tcW w:w="1276" w:type="dxa"/>
            <w:shd w:val="clear" w:color="auto" w:fill="E7E6E6"/>
          </w:tcPr>
          <w:p w14:paraId="43465FE9" w14:textId="7800D8EC" w:rsidR="00C5613A" w:rsidRDefault="00C547DC" w:rsidP="00A55496">
            <w:pPr>
              <w:pStyle w:val="TableParagraph"/>
              <w:ind w:left="330"/>
              <w:rPr>
                <w:sz w:val="20"/>
              </w:rPr>
            </w:pPr>
            <w:r>
              <w:rPr>
                <w:sz w:val="20"/>
              </w:rPr>
              <w:t>0.917</w:t>
            </w:r>
          </w:p>
        </w:tc>
        <w:tc>
          <w:tcPr>
            <w:tcW w:w="2125" w:type="dxa"/>
            <w:shd w:val="clear" w:color="auto" w:fill="E7E6E6"/>
          </w:tcPr>
          <w:p w14:paraId="7DDA4D66" w14:textId="2646C721" w:rsidR="00C5613A" w:rsidRDefault="00C547DC" w:rsidP="00C547DC">
            <w:pPr>
              <w:pStyle w:val="TableParagraph"/>
              <w:jc w:val="center"/>
              <w:rPr>
                <w:sz w:val="20"/>
              </w:rPr>
            </w:pPr>
            <w:r>
              <w:rPr>
                <w:sz w:val="20"/>
              </w:rPr>
              <w:t>0.859</w:t>
            </w:r>
          </w:p>
        </w:tc>
      </w:tr>
      <w:tr w:rsidR="00C5613A" w14:paraId="381DC6A0" w14:textId="77777777" w:rsidTr="00C547DC">
        <w:trPr>
          <w:trHeight w:val="313"/>
          <w:jc w:val="center"/>
        </w:trPr>
        <w:tc>
          <w:tcPr>
            <w:tcW w:w="1573" w:type="dxa"/>
            <w:vMerge/>
            <w:shd w:val="clear" w:color="auto" w:fill="E7E6E6"/>
          </w:tcPr>
          <w:p w14:paraId="1529AE27" w14:textId="0A6DB4C2" w:rsidR="00C5613A" w:rsidRDefault="00C5613A" w:rsidP="00A55496">
            <w:pPr>
              <w:pStyle w:val="TableParagraph"/>
              <w:ind w:left="122"/>
              <w:rPr>
                <w:sz w:val="20"/>
              </w:rPr>
            </w:pPr>
          </w:p>
        </w:tc>
        <w:tc>
          <w:tcPr>
            <w:tcW w:w="3402" w:type="dxa"/>
            <w:shd w:val="clear" w:color="auto" w:fill="E7E6E6"/>
          </w:tcPr>
          <w:p w14:paraId="76845CA4" w14:textId="53CC4468" w:rsidR="00C5613A" w:rsidRDefault="00C547DC" w:rsidP="00C547DC">
            <w:pPr>
              <w:pStyle w:val="TableParagraph"/>
              <w:ind w:left="-8"/>
              <w:rPr>
                <w:sz w:val="20"/>
              </w:rPr>
            </w:pPr>
            <w:r>
              <w:rPr>
                <w:sz w:val="20"/>
              </w:rPr>
              <w:t>Comparability</w:t>
            </w:r>
            <w:r w:rsidR="00E479CE">
              <w:rPr>
                <w:sz w:val="20"/>
              </w:rPr>
              <w:t xml:space="preserve"> </w:t>
            </w:r>
          </w:p>
        </w:tc>
        <w:tc>
          <w:tcPr>
            <w:tcW w:w="1276" w:type="dxa"/>
            <w:shd w:val="clear" w:color="auto" w:fill="E7E6E6"/>
          </w:tcPr>
          <w:p w14:paraId="7B0AD75F" w14:textId="155B9C7E" w:rsidR="00C5613A" w:rsidRDefault="00C5613A" w:rsidP="00A55496">
            <w:pPr>
              <w:pStyle w:val="TableParagraph"/>
              <w:ind w:left="305" w:right="293"/>
              <w:jc w:val="center"/>
              <w:rPr>
                <w:sz w:val="20"/>
              </w:rPr>
            </w:pPr>
            <w:r>
              <w:rPr>
                <w:sz w:val="20"/>
              </w:rPr>
              <w:t>0.</w:t>
            </w:r>
            <w:r w:rsidR="00C547DC">
              <w:rPr>
                <w:sz w:val="20"/>
              </w:rPr>
              <w:t>947</w:t>
            </w:r>
          </w:p>
        </w:tc>
        <w:tc>
          <w:tcPr>
            <w:tcW w:w="1276" w:type="dxa"/>
            <w:shd w:val="clear" w:color="auto" w:fill="E7E6E6"/>
          </w:tcPr>
          <w:p w14:paraId="69F5431B" w14:textId="0003BA92" w:rsidR="00C5613A" w:rsidRDefault="00C547DC" w:rsidP="00A55496">
            <w:pPr>
              <w:pStyle w:val="TableParagraph"/>
              <w:ind w:left="321"/>
              <w:rPr>
                <w:sz w:val="20"/>
              </w:rPr>
            </w:pPr>
            <w:r>
              <w:rPr>
                <w:sz w:val="20"/>
              </w:rPr>
              <w:t>0.949</w:t>
            </w:r>
          </w:p>
        </w:tc>
        <w:tc>
          <w:tcPr>
            <w:tcW w:w="2125" w:type="dxa"/>
            <w:shd w:val="clear" w:color="auto" w:fill="E7E6E6"/>
          </w:tcPr>
          <w:p w14:paraId="011C5CB9" w14:textId="70594106" w:rsidR="00C5613A" w:rsidRDefault="00C547DC" w:rsidP="00C547DC">
            <w:pPr>
              <w:pStyle w:val="TableParagraph"/>
              <w:jc w:val="center"/>
              <w:rPr>
                <w:sz w:val="20"/>
              </w:rPr>
            </w:pPr>
            <w:r>
              <w:rPr>
                <w:sz w:val="20"/>
              </w:rPr>
              <w:t>0.888</w:t>
            </w:r>
          </w:p>
        </w:tc>
      </w:tr>
    </w:tbl>
    <w:p w14:paraId="0EE0B590" w14:textId="06ED288B" w:rsidR="004F01DD" w:rsidRDefault="004F01DD" w:rsidP="003045AB">
      <w:pPr>
        <w:pStyle w:val="BodyText"/>
        <w:spacing w:before="51" w:line="276" w:lineRule="auto"/>
        <w:ind w:right="292"/>
        <w:jc w:val="both"/>
      </w:pPr>
    </w:p>
    <w:p w14:paraId="53391298" w14:textId="17480B3E" w:rsidR="003045AB" w:rsidRDefault="003045AB" w:rsidP="00912C9F">
      <w:pPr>
        <w:pStyle w:val="BodyText"/>
        <w:spacing w:before="51" w:line="276" w:lineRule="auto"/>
        <w:ind w:left="284" w:right="292" w:firstLine="436"/>
        <w:jc w:val="both"/>
      </w:pPr>
      <w:proofErr w:type="spellStart"/>
      <w:r>
        <w:t>Berdasarkan</w:t>
      </w:r>
      <w:proofErr w:type="spellEnd"/>
      <w:r>
        <w:t xml:space="preserve"> pada </w:t>
      </w:r>
      <w:proofErr w:type="spellStart"/>
      <w:r>
        <w:t>tabel</w:t>
      </w:r>
      <w:proofErr w:type="spellEnd"/>
      <w:r>
        <w:t xml:space="preserve"> </w:t>
      </w:r>
      <w:proofErr w:type="spellStart"/>
      <w:r>
        <w:t>diatas</w:t>
      </w:r>
      <w:proofErr w:type="spellEnd"/>
      <w:r>
        <w:t xml:space="preserve"> </w:t>
      </w:r>
      <w:proofErr w:type="spellStart"/>
      <w:r w:rsidR="00C21210">
        <w:t>hasil</w:t>
      </w:r>
      <w:proofErr w:type="spellEnd"/>
      <w:r w:rsidR="00C21210">
        <w:t xml:space="preserve"> uji </w:t>
      </w:r>
      <w:proofErr w:type="spellStart"/>
      <w:r w:rsidR="00C21210">
        <w:t>valididtas</w:t>
      </w:r>
      <w:proofErr w:type="spellEnd"/>
      <w:r w:rsidR="00C21210">
        <w:t xml:space="preserve"> 1</w:t>
      </w:r>
      <w:r w:rsidR="00C21210" w:rsidRPr="00C21210">
        <w:rPr>
          <w:vertAlign w:val="superscript"/>
        </w:rPr>
        <w:t>st</w:t>
      </w:r>
      <w:r w:rsidR="00C21210">
        <w:t xml:space="preserve"> order dan 2</w:t>
      </w:r>
      <w:r w:rsidR="00C21210" w:rsidRPr="00C21210">
        <w:rPr>
          <w:vertAlign w:val="superscript"/>
        </w:rPr>
        <w:t>nd</w:t>
      </w:r>
      <w:r w:rsidR="00C21210">
        <w:t xml:space="preserve"> order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semua</w:t>
      </w:r>
      <w:proofErr w:type="spellEnd"/>
      <w:r>
        <w:t xml:space="preserve"> </w:t>
      </w:r>
      <w:proofErr w:type="spellStart"/>
      <w:r w:rsidR="00C21210">
        <w:t>indikator</w:t>
      </w:r>
      <w:proofErr w:type="spellEnd"/>
      <w:r w:rsidR="00C21210">
        <w:t xml:space="preserve"> </w:t>
      </w:r>
      <w:proofErr w:type="spellStart"/>
      <w:r w:rsidR="00C21210">
        <w:t>dimensi</w:t>
      </w:r>
      <w:proofErr w:type="spellEnd"/>
      <w:r w:rsidR="00C21210">
        <w:t xml:space="preserve"> yang </w:t>
      </w:r>
      <w:proofErr w:type="spellStart"/>
      <w:r w:rsidR="00C21210">
        <w:t>mengukur</w:t>
      </w:r>
      <w:proofErr w:type="spellEnd"/>
      <w:r w:rsidR="00C21210">
        <w:t xml:space="preserve"> </w:t>
      </w:r>
      <w:proofErr w:type="spellStart"/>
      <w:r w:rsidR="00C21210">
        <w:t>variabel</w:t>
      </w:r>
      <w:proofErr w:type="spellEnd"/>
      <w:r w:rsidR="00C21210">
        <w:t xml:space="preserve"> </w:t>
      </w:r>
      <w:proofErr w:type="spellStart"/>
      <w:r w:rsidR="00C21210">
        <w:t>kualtas</w:t>
      </w:r>
      <w:proofErr w:type="spellEnd"/>
      <w:r w:rsidR="00C21210">
        <w:t xml:space="preserve"> </w:t>
      </w:r>
      <w:proofErr w:type="spellStart"/>
      <w:r w:rsidR="00C21210">
        <w:t>pengungkapan</w:t>
      </w:r>
      <w:proofErr w:type="spellEnd"/>
      <w:r w:rsidR="00C21210">
        <w:t xml:space="preserve"> </w:t>
      </w:r>
      <w:proofErr w:type="spellStart"/>
      <w:r w:rsidR="00C21210">
        <w:t>tanggung</w:t>
      </w:r>
      <w:proofErr w:type="spellEnd"/>
      <w:r w:rsidR="00C21210">
        <w:t xml:space="preserve"> </w:t>
      </w:r>
      <w:proofErr w:type="spellStart"/>
      <w:r w:rsidR="00C21210">
        <w:t>jawab</w:t>
      </w:r>
      <w:proofErr w:type="spellEnd"/>
      <w:r w:rsidR="00C21210">
        <w:t xml:space="preserve"> </w:t>
      </w:r>
      <w:proofErr w:type="spellStart"/>
      <w:r w:rsidR="00C21210">
        <w:t>sosial</w:t>
      </w:r>
      <w:proofErr w:type="spellEnd"/>
      <w:r w:rsidR="00C21210">
        <w:t xml:space="preserve"> </w:t>
      </w:r>
      <w:proofErr w:type="spellStart"/>
      <w:r w:rsidR="00C21210">
        <w:t>bernilai</w:t>
      </w:r>
      <w:proofErr w:type="spellEnd"/>
      <w:r w:rsidR="00C21210">
        <w:t xml:space="preserve"> </w:t>
      </w:r>
      <w:proofErr w:type="spellStart"/>
      <w:r w:rsidR="00C21210">
        <w:t>lebih</w:t>
      </w:r>
      <w:proofErr w:type="spellEnd"/>
      <w:r w:rsidR="00C21210">
        <w:t xml:space="preserve"> </w:t>
      </w:r>
      <w:proofErr w:type="spellStart"/>
      <w:r w:rsidR="00C21210">
        <w:t>besar</w:t>
      </w:r>
      <w:proofErr w:type="spellEnd"/>
      <w:r w:rsidR="00C21210">
        <w:t xml:space="preserve"> 0.7 dan 0.6. </w:t>
      </w:r>
      <w:proofErr w:type="spellStart"/>
      <w:r w:rsidR="00C21210">
        <w:t>dengan</w:t>
      </w:r>
      <w:proofErr w:type="spellEnd"/>
      <w:r w:rsidR="00C21210">
        <w:t xml:space="preserve"> </w:t>
      </w:r>
      <w:proofErr w:type="spellStart"/>
      <w:r w:rsidR="00C21210">
        <w:t>demikian</w:t>
      </w:r>
      <w:proofErr w:type="spellEnd"/>
      <w:r w:rsidR="00C21210">
        <w:t xml:space="preserve"> </w:t>
      </w:r>
      <w:proofErr w:type="spellStart"/>
      <w:r w:rsidR="00C21210">
        <w:t>dimensi</w:t>
      </w:r>
      <w:proofErr w:type="spellEnd"/>
      <w:r w:rsidR="00C21210">
        <w:t xml:space="preserve"> relevance, faithful representation, understandability, dan comparability </w:t>
      </w:r>
      <w:proofErr w:type="spellStart"/>
      <w:r w:rsidR="00C21210">
        <w:t>dinyatakan</w:t>
      </w:r>
      <w:proofErr w:type="spellEnd"/>
      <w:r w:rsidR="00C21210">
        <w:t xml:space="preserve"> valid </w:t>
      </w:r>
      <w:proofErr w:type="spellStart"/>
      <w:r w:rsidR="00C21210">
        <w:t>atau</w:t>
      </w:r>
      <w:proofErr w:type="spellEnd"/>
      <w:r w:rsidR="00C21210">
        <w:t xml:space="preserve"> </w:t>
      </w:r>
      <w:proofErr w:type="spellStart"/>
      <w:r w:rsidR="00C21210">
        <w:t>mampu</w:t>
      </w:r>
      <w:proofErr w:type="spellEnd"/>
      <w:r w:rsidR="00C21210">
        <w:t xml:space="preserve"> </w:t>
      </w:r>
      <w:proofErr w:type="spellStart"/>
      <w:r w:rsidR="00C21210">
        <w:t>mengukur</w:t>
      </w:r>
      <w:proofErr w:type="spellEnd"/>
      <w:r w:rsidR="00C21210">
        <w:t xml:space="preserve"> </w:t>
      </w:r>
      <w:proofErr w:type="spellStart"/>
      <w:r w:rsidR="00C21210">
        <w:t>variabel</w:t>
      </w:r>
      <w:proofErr w:type="spellEnd"/>
      <w:r w:rsidR="00C21210">
        <w:t xml:space="preserve"> </w:t>
      </w:r>
      <w:proofErr w:type="spellStart"/>
      <w:r w:rsidR="00C21210">
        <w:t>kualitas</w:t>
      </w:r>
      <w:proofErr w:type="spellEnd"/>
      <w:r w:rsidR="00C21210">
        <w:t xml:space="preserve"> </w:t>
      </w:r>
      <w:proofErr w:type="spellStart"/>
      <w:r w:rsidR="00C21210">
        <w:t>pengungkapan</w:t>
      </w:r>
      <w:proofErr w:type="spellEnd"/>
      <w:r w:rsidR="00C21210">
        <w:t xml:space="preserve"> </w:t>
      </w:r>
      <w:proofErr w:type="spellStart"/>
      <w:r w:rsidR="00C21210">
        <w:t>tanggung</w:t>
      </w:r>
      <w:proofErr w:type="spellEnd"/>
      <w:r w:rsidR="00C21210">
        <w:t xml:space="preserve"> </w:t>
      </w:r>
      <w:proofErr w:type="spellStart"/>
      <w:r w:rsidR="00C21210">
        <w:t>jawab</w:t>
      </w:r>
      <w:proofErr w:type="spellEnd"/>
      <w:r w:rsidR="00C21210">
        <w:t xml:space="preserve"> </w:t>
      </w:r>
      <w:proofErr w:type="spellStart"/>
      <w:r w:rsidR="00C21210">
        <w:t>sosial</w:t>
      </w:r>
      <w:proofErr w:type="spellEnd"/>
      <w:r w:rsidR="00C21210">
        <w:t xml:space="preserve">. </w:t>
      </w:r>
      <w:proofErr w:type="spellStart"/>
      <w:r w:rsidR="00C21210">
        <w:t>Selanjutnya</w:t>
      </w:r>
      <w:proofErr w:type="spellEnd"/>
      <w:r w:rsidR="00C21210">
        <w:t xml:space="preserve">, </w:t>
      </w:r>
      <w:proofErr w:type="spellStart"/>
      <w:r w:rsidR="00C21210">
        <w:t>nilai</w:t>
      </w:r>
      <w:proofErr w:type="spellEnd"/>
      <w:r w:rsidR="00C21210">
        <w:t xml:space="preserve"> reliability pada </w:t>
      </w:r>
      <w:proofErr w:type="spellStart"/>
      <w:r w:rsidR="00C21210">
        <w:t>dimensi</w:t>
      </w:r>
      <w:proofErr w:type="spellEnd"/>
      <w:r w:rsidR="00C21210">
        <w:t xml:space="preserve"> </w:t>
      </w:r>
      <w:proofErr w:type="spellStart"/>
      <w:r w:rsidR="00C21210">
        <w:t>kualitas</w:t>
      </w:r>
      <w:proofErr w:type="spellEnd"/>
      <w:r w:rsidR="00C21210">
        <w:t xml:space="preserve"> </w:t>
      </w:r>
      <w:proofErr w:type="spellStart"/>
      <w:r w:rsidR="00C21210">
        <w:t>pengungkapan</w:t>
      </w:r>
      <w:proofErr w:type="spellEnd"/>
      <w:r w:rsidR="00C21210">
        <w:t xml:space="preserve"> </w:t>
      </w:r>
      <w:proofErr w:type="spellStart"/>
      <w:r w:rsidR="00C21210">
        <w:t>tanggung</w:t>
      </w:r>
      <w:proofErr w:type="spellEnd"/>
      <w:r w:rsidR="00C21210">
        <w:t xml:space="preserve"> </w:t>
      </w:r>
      <w:proofErr w:type="spellStart"/>
      <w:r w:rsidR="00C21210">
        <w:t>jawab</w:t>
      </w:r>
      <w:proofErr w:type="spellEnd"/>
      <w:r w:rsidR="00C21210">
        <w:t xml:space="preserve"> </w:t>
      </w:r>
      <w:proofErr w:type="spellStart"/>
      <w:r w:rsidR="00C21210">
        <w:t>sosial</w:t>
      </w:r>
      <w:proofErr w:type="spellEnd"/>
      <w:r w:rsidR="00C21210">
        <w:t xml:space="preserve"> </w:t>
      </w:r>
      <w:proofErr w:type="spellStart"/>
      <w:r w:rsidR="00C21210">
        <w:t>lebih</w:t>
      </w:r>
      <w:proofErr w:type="spellEnd"/>
      <w:r w:rsidR="00C21210">
        <w:t xml:space="preserve"> </w:t>
      </w:r>
      <w:proofErr w:type="spellStart"/>
      <w:r w:rsidR="00C21210">
        <w:t>besar</w:t>
      </w:r>
      <w:proofErr w:type="spellEnd"/>
      <w:r w:rsidR="00C21210">
        <w:t xml:space="preserve"> </w:t>
      </w:r>
      <w:proofErr w:type="spellStart"/>
      <w:r w:rsidR="00C21210">
        <w:t>dari</w:t>
      </w:r>
      <w:proofErr w:type="spellEnd"/>
      <w:r w:rsidR="00C21210">
        <w:t xml:space="preserve"> 0.6. </w:t>
      </w:r>
      <w:proofErr w:type="spellStart"/>
      <w:r w:rsidR="00C21210">
        <w:t>Dengan</w:t>
      </w:r>
      <w:proofErr w:type="spellEnd"/>
      <w:r w:rsidR="00C21210">
        <w:t xml:space="preserve"> </w:t>
      </w:r>
      <w:proofErr w:type="spellStart"/>
      <w:r w:rsidR="00C21210">
        <w:t>demikian</w:t>
      </w:r>
      <w:proofErr w:type="spellEnd"/>
      <w:r w:rsidR="00C21210">
        <w:t xml:space="preserve">, </w:t>
      </w:r>
      <w:proofErr w:type="spellStart"/>
      <w:r w:rsidR="00C21210">
        <w:t>berdasarkan</w:t>
      </w:r>
      <w:proofErr w:type="spellEnd"/>
      <w:r w:rsidR="00C21210">
        <w:t xml:space="preserve"> </w:t>
      </w:r>
      <w:proofErr w:type="spellStart"/>
      <w:r w:rsidR="00C21210">
        <w:t>perhitungan</w:t>
      </w:r>
      <w:proofErr w:type="spellEnd"/>
      <w:r w:rsidR="00C21210">
        <w:t xml:space="preserve"> Cronbach’s Alpha </w:t>
      </w:r>
      <w:proofErr w:type="spellStart"/>
      <w:r w:rsidR="00C21210">
        <w:t>semua</w:t>
      </w:r>
      <w:proofErr w:type="spellEnd"/>
      <w:r w:rsidR="00C21210">
        <w:t xml:space="preserve"> </w:t>
      </w:r>
      <w:proofErr w:type="spellStart"/>
      <w:r w:rsidR="00C21210">
        <w:t>indikator</w:t>
      </w:r>
      <w:proofErr w:type="spellEnd"/>
      <w:r w:rsidR="00C21210">
        <w:t xml:space="preserve"> yang </w:t>
      </w:r>
      <w:proofErr w:type="spellStart"/>
      <w:r w:rsidR="00C21210">
        <w:t>mengukur</w:t>
      </w:r>
      <w:proofErr w:type="spellEnd"/>
      <w:r w:rsidR="00C21210">
        <w:t xml:space="preserve"> </w:t>
      </w:r>
      <w:proofErr w:type="spellStart"/>
      <w:r w:rsidR="00C21210">
        <w:t>dimensi</w:t>
      </w:r>
      <w:proofErr w:type="spellEnd"/>
      <w:r w:rsidR="00C21210">
        <w:t xml:space="preserve"> relevance, faithful representation, understandability, dan comparability </w:t>
      </w:r>
      <w:proofErr w:type="spellStart"/>
      <w:r w:rsidR="00C21210">
        <w:t>dinyatakan</w:t>
      </w:r>
      <w:proofErr w:type="spellEnd"/>
      <w:r w:rsidR="00C21210">
        <w:t xml:space="preserve"> </w:t>
      </w:r>
      <w:proofErr w:type="spellStart"/>
      <w:r w:rsidR="00C21210">
        <w:t>reliabel</w:t>
      </w:r>
      <w:proofErr w:type="spellEnd"/>
      <w:r w:rsidR="00C21210">
        <w:t>.</w:t>
      </w:r>
    </w:p>
    <w:p w14:paraId="41E3F7AE" w14:textId="7740DE69" w:rsidR="005B2AE6" w:rsidRDefault="00527FA9" w:rsidP="00912C9F">
      <w:pPr>
        <w:pStyle w:val="BodyText"/>
        <w:spacing w:before="51" w:line="276" w:lineRule="auto"/>
        <w:ind w:left="284" w:right="292" w:firstLine="436"/>
        <w:jc w:val="both"/>
      </w:pPr>
      <w:proofErr w:type="spellStart"/>
      <w:r>
        <w:t>Kriteria</w:t>
      </w:r>
      <w:proofErr w:type="spellEnd"/>
      <w:r>
        <w:t xml:space="preserve"> </w:t>
      </w:r>
      <w:proofErr w:type="spellStart"/>
      <w:r>
        <w:t>pengujian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apabila</w:t>
      </w:r>
      <w:proofErr w:type="spellEnd"/>
      <w:r>
        <w:t xml:space="preserve"> </w:t>
      </w:r>
      <w:proofErr w:type="spellStart"/>
      <w:r>
        <w:t>nilai</w:t>
      </w:r>
      <w:proofErr w:type="spellEnd"/>
      <w:r>
        <w:t xml:space="preserve"> T-statistics ≥ T-</w:t>
      </w:r>
      <w:proofErr w:type="spellStart"/>
      <w:r>
        <w:t>tabel</w:t>
      </w:r>
      <w:proofErr w:type="spellEnd"/>
      <w:r>
        <w:t xml:space="preserve"> (1.96) </w:t>
      </w:r>
      <w:proofErr w:type="spellStart"/>
      <w:r>
        <w:t>maka</w:t>
      </w:r>
      <w:proofErr w:type="spellEnd"/>
      <w:r>
        <w:t xml:space="preserve"> </w:t>
      </w:r>
      <w:proofErr w:type="spellStart"/>
      <w:r>
        <w:t>dinyatakan</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r w:rsidR="00912C9F">
        <w:t xml:space="preserve">Hasil </w:t>
      </w:r>
      <w:proofErr w:type="spellStart"/>
      <w:r w:rsidR="00912C9F">
        <w:t>dari</w:t>
      </w:r>
      <w:proofErr w:type="spellEnd"/>
      <w:r w:rsidR="00912C9F">
        <w:t xml:space="preserve"> </w:t>
      </w:r>
      <w:proofErr w:type="spellStart"/>
      <w:r w:rsidR="00912C9F">
        <w:t>pengujian</w:t>
      </w:r>
      <w:proofErr w:type="spellEnd"/>
      <w:r w:rsidR="00912C9F">
        <w:t xml:space="preserve"> </w:t>
      </w:r>
      <w:proofErr w:type="spellStart"/>
      <w:r w:rsidR="00912C9F">
        <w:t>hiptoesis</w:t>
      </w:r>
      <w:proofErr w:type="spellEnd"/>
      <w:r w:rsidR="00912C9F">
        <w:t xml:space="preserve"> </w:t>
      </w:r>
      <w:proofErr w:type="spellStart"/>
      <w:r w:rsidR="00912C9F">
        <w:t>menggunakan</w:t>
      </w:r>
      <w:proofErr w:type="spellEnd"/>
      <w:r w:rsidR="00912C9F">
        <w:t xml:space="preserve"> PLS </w:t>
      </w:r>
      <w:proofErr w:type="spellStart"/>
      <w:r w:rsidR="00912C9F">
        <w:t>dapat</w:t>
      </w:r>
      <w:proofErr w:type="spellEnd"/>
      <w:r w:rsidR="00912C9F">
        <w:t xml:space="preserve"> </w:t>
      </w:r>
      <w:proofErr w:type="spellStart"/>
      <w:r w:rsidR="00912C9F">
        <w:t>dilihat</w:t>
      </w:r>
      <w:proofErr w:type="spellEnd"/>
      <w:r w:rsidR="00912C9F">
        <w:t xml:space="preserve"> </w:t>
      </w:r>
      <w:proofErr w:type="spellStart"/>
      <w:r w:rsidR="00912C9F">
        <w:t>dari</w:t>
      </w:r>
      <w:proofErr w:type="spellEnd"/>
      <w:r w:rsidR="00912C9F">
        <w:t xml:space="preserve"> </w:t>
      </w:r>
      <w:proofErr w:type="spellStart"/>
      <w:r w:rsidR="00912C9F">
        <w:t>gambar</w:t>
      </w:r>
      <w:proofErr w:type="spellEnd"/>
      <w:r w:rsidR="00912C9F">
        <w:t xml:space="preserve"> dan </w:t>
      </w:r>
      <w:proofErr w:type="spellStart"/>
      <w:r w:rsidR="00912C9F">
        <w:t>tabel</w:t>
      </w:r>
      <w:proofErr w:type="spellEnd"/>
      <w:r w:rsidR="00912C9F">
        <w:t xml:space="preserve"> </w:t>
      </w:r>
      <w:proofErr w:type="spellStart"/>
      <w:r w:rsidR="00912C9F">
        <w:t>berikut</w:t>
      </w:r>
      <w:proofErr w:type="spellEnd"/>
      <w:r w:rsidR="00912C9F">
        <w:t>:</w:t>
      </w:r>
    </w:p>
    <w:p w14:paraId="3EB85F53" w14:textId="6DBB67B2" w:rsidR="00912C9F" w:rsidRDefault="00912C9F" w:rsidP="00912C9F">
      <w:pPr>
        <w:pStyle w:val="BodyText"/>
        <w:spacing w:before="51" w:line="276" w:lineRule="auto"/>
        <w:ind w:left="284" w:right="292" w:firstLine="436"/>
        <w:jc w:val="center"/>
      </w:pPr>
      <w:r>
        <w:rPr>
          <w:noProof/>
        </w:rPr>
        <w:drawing>
          <wp:inline distT="0" distB="0" distL="0" distR="0" wp14:anchorId="580B1808" wp14:editId="3CA5C951">
            <wp:extent cx="4537710" cy="26289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17834" t="14379" r="17886" b="18985"/>
                    <a:stretch/>
                  </pic:blipFill>
                  <pic:spPr bwMode="auto">
                    <a:xfrm>
                      <a:off x="0" y="0"/>
                      <a:ext cx="4537710" cy="2628900"/>
                    </a:xfrm>
                    <a:prstGeom prst="rect">
                      <a:avLst/>
                    </a:prstGeom>
                    <a:ln>
                      <a:noFill/>
                    </a:ln>
                    <a:extLst>
                      <a:ext uri="{53640926-AAD7-44D8-BBD7-CCE9431645EC}">
                        <a14:shadowObscured xmlns:a14="http://schemas.microsoft.com/office/drawing/2010/main"/>
                      </a:ext>
                    </a:extLst>
                  </pic:spPr>
                </pic:pic>
              </a:graphicData>
            </a:graphic>
          </wp:inline>
        </w:drawing>
      </w:r>
    </w:p>
    <w:p w14:paraId="2CD20134" w14:textId="1EE66E01" w:rsidR="005B2AE6" w:rsidRPr="00912C9F" w:rsidRDefault="00912C9F" w:rsidP="00912C9F">
      <w:pPr>
        <w:pStyle w:val="BodyText"/>
        <w:spacing w:line="276" w:lineRule="auto"/>
        <w:ind w:left="284" w:right="292" w:firstLine="436"/>
        <w:jc w:val="center"/>
        <w:rPr>
          <w:b/>
          <w:bCs/>
          <w:sz w:val="20"/>
          <w:szCs w:val="20"/>
        </w:rPr>
      </w:pPr>
      <w:r w:rsidRPr="00912C9F">
        <w:rPr>
          <w:b/>
          <w:bCs/>
          <w:sz w:val="20"/>
          <w:szCs w:val="20"/>
        </w:rPr>
        <w:t xml:space="preserve">Gambar 1 Diagram Jalur </w:t>
      </w:r>
      <w:proofErr w:type="spellStart"/>
      <w:r w:rsidRPr="00912C9F">
        <w:rPr>
          <w:b/>
          <w:bCs/>
          <w:sz w:val="20"/>
          <w:szCs w:val="20"/>
        </w:rPr>
        <w:t>analisis</w:t>
      </w:r>
      <w:proofErr w:type="spellEnd"/>
      <w:r w:rsidRPr="00912C9F">
        <w:rPr>
          <w:b/>
          <w:bCs/>
          <w:sz w:val="20"/>
          <w:szCs w:val="20"/>
        </w:rPr>
        <w:t xml:space="preserve"> PLS</w:t>
      </w:r>
    </w:p>
    <w:p w14:paraId="5DA217EC" w14:textId="77777777" w:rsidR="004F01DD" w:rsidRDefault="004F01DD" w:rsidP="004F01DD">
      <w:pPr>
        <w:pStyle w:val="BodyText"/>
        <w:spacing w:before="6"/>
        <w:rPr>
          <w:sz w:val="18"/>
        </w:rPr>
      </w:pPr>
    </w:p>
    <w:p w14:paraId="74752A0F" w14:textId="77777777" w:rsidR="00AA144E" w:rsidRDefault="00AA144E" w:rsidP="006B0AB8">
      <w:pPr>
        <w:ind w:left="2229" w:right="2406"/>
        <w:jc w:val="center"/>
        <w:rPr>
          <w:b/>
          <w:sz w:val="20"/>
        </w:rPr>
      </w:pPr>
    </w:p>
    <w:p w14:paraId="76AE1092" w14:textId="77777777" w:rsidR="00AA144E" w:rsidRDefault="00AA144E" w:rsidP="006B0AB8">
      <w:pPr>
        <w:ind w:left="2229" w:right="2406"/>
        <w:jc w:val="center"/>
        <w:rPr>
          <w:b/>
          <w:sz w:val="20"/>
        </w:rPr>
      </w:pPr>
    </w:p>
    <w:p w14:paraId="4312DB2C" w14:textId="77777777" w:rsidR="00AA144E" w:rsidRDefault="00AA144E" w:rsidP="006B0AB8">
      <w:pPr>
        <w:ind w:left="2229" w:right="2406"/>
        <w:jc w:val="center"/>
        <w:rPr>
          <w:b/>
          <w:sz w:val="20"/>
        </w:rPr>
      </w:pPr>
    </w:p>
    <w:p w14:paraId="4E0995A0" w14:textId="77777777" w:rsidR="00AA144E" w:rsidRDefault="00AA144E" w:rsidP="006B0AB8">
      <w:pPr>
        <w:ind w:left="2229" w:right="2406"/>
        <w:jc w:val="center"/>
        <w:rPr>
          <w:b/>
          <w:sz w:val="20"/>
        </w:rPr>
      </w:pPr>
    </w:p>
    <w:p w14:paraId="7ED02363" w14:textId="456EFDC0" w:rsidR="004F01DD" w:rsidRDefault="004F01DD" w:rsidP="006B0AB8">
      <w:pPr>
        <w:ind w:left="2229" w:right="2406"/>
        <w:jc w:val="center"/>
        <w:rPr>
          <w:b/>
          <w:sz w:val="20"/>
        </w:rPr>
      </w:pPr>
      <w:r>
        <w:rPr>
          <w:b/>
          <w:sz w:val="20"/>
        </w:rPr>
        <w:lastRenderedPageBreak/>
        <w:t>Table</w:t>
      </w:r>
      <w:r>
        <w:rPr>
          <w:b/>
          <w:spacing w:val="-3"/>
          <w:sz w:val="20"/>
        </w:rPr>
        <w:t xml:space="preserve"> </w:t>
      </w:r>
      <w:r w:rsidR="006B0AB8">
        <w:rPr>
          <w:b/>
          <w:sz w:val="20"/>
        </w:rPr>
        <w:t>5</w:t>
      </w:r>
      <w:r>
        <w:rPr>
          <w:b/>
          <w:spacing w:val="-3"/>
          <w:sz w:val="20"/>
        </w:rPr>
        <w:t xml:space="preserve"> </w:t>
      </w:r>
      <w:r w:rsidR="005B2AE6">
        <w:rPr>
          <w:b/>
          <w:sz w:val="20"/>
        </w:rPr>
        <w:t>PLS R</w:t>
      </w:r>
      <w:r w:rsidR="00912C9F">
        <w:rPr>
          <w:b/>
          <w:sz w:val="20"/>
        </w:rPr>
        <w:t>es</w:t>
      </w:r>
      <w:r w:rsidR="005B2AE6">
        <w:rPr>
          <w:b/>
          <w:sz w:val="20"/>
        </w:rPr>
        <w:t>ults</w:t>
      </w:r>
    </w:p>
    <w:p w14:paraId="2828AF67" w14:textId="77777777" w:rsidR="00DE758F" w:rsidRDefault="00DE758F" w:rsidP="006B0AB8">
      <w:pPr>
        <w:ind w:left="2229" w:right="2406"/>
        <w:jc w:val="center"/>
        <w:rPr>
          <w:b/>
          <w:sz w:val="20"/>
        </w:rPr>
      </w:pPr>
    </w:p>
    <w:tbl>
      <w:tblPr>
        <w:tblW w:w="8166" w:type="dxa"/>
        <w:jc w:val="center"/>
        <w:tblLayout w:type="fixed"/>
        <w:tblCellMar>
          <w:left w:w="0" w:type="dxa"/>
          <w:right w:w="0" w:type="dxa"/>
        </w:tblCellMar>
        <w:tblLook w:val="01E0" w:firstRow="1" w:lastRow="1" w:firstColumn="1" w:lastColumn="1" w:noHBand="0" w:noVBand="0"/>
      </w:tblPr>
      <w:tblGrid>
        <w:gridCol w:w="1917"/>
        <w:gridCol w:w="2126"/>
        <w:gridCol w:w="1081"/>
        <w:gridCol w:w="1076"/>
        <w:gridCol w:w="1063"/>
        <w:gridCol w:w="903"/>
      </w:tblGrid>
      <w:tr w:rsidR="00E25DAB" w14:paraId="43E71552" w14:textId="40576F77" w:rsidTr="00E25DAB">
        <w:trPr>
          <w:trHeight w:val="234"/>
          <w:jc w:val="center"/>
        </w:trPr>
        <w:tc>
          <w:tcPr>
            <w:tcW w:w="1917" w:type="dxa"/>
            <w:tcBorders>
              <w:top w:val="single" w:sz="4" w:space="0" w:color="000000"/>
              <w:bottom w:val="single" w:sz="4" w:space="0" w:color="auto"/>
            </w:tcBorders>
            <w:shd w:val="clear" w:color="auto" w:fill="E7E6E6"/>
            <w:vAlign w:val="center"/>
          </w:tcPr>
          <w:p w14:paraId="44BA4DC6" w14:textId="77777777" w:rsidR="00E25DAB" w:rsidRDefault="00E25DAB" w:rsidP="00DE758F">
            <w:pPr>
              <w:pStyle w:val="TableParagraph"/>
              <w:spacing w:line="243" w:lineRule="exact"/>
              <w:ind w:left="108"/>
              <w:jc w:val="center"/>
              <w:rPr>
                <w:sz w:val="20"/>
              </w:rPr>
            </w:pPr>
            <w:r>
              <w:rPr>
                <w:sz w:val="20"/>
              </w:rPr>
              <w:t>Variable</w:t>
            </w:r>
          </w:p>
        </w:tc>
        <w:tc>
          <w:tcPr>
            <w:tcW w:w="2126" w:type="dxa"/>
            <w:tcBorders>
              <w:top w:val="single" w:sz="4" w:space="0" w:color="000000"/>
              <w:bottom w:val="single" w:sz="4" w:space="0" w:color="auto"/>
            </w:tcBorders>
            <w:shd w:val="clear" w:color="auto" w:fill="E7E6E6"/>
            <w:vAlign w:val="center"/>
          </w:tcPr>
          <w:p w14:paraId="65E440D5" w14:textId="1952DBC8" w:rsidR="00E25DAB" w:rsidRDefault="00E25DAB" w:rsidP="00DE758F">
            <w:pPr>
              <w:pStyle w:val="TableParagraph"/>
              <w:spacing w:line="243" w:lineRule="exact"/>
              <w:ind w:left="108"/>
              <w:jc w:val="center"/>
              <w:rPr>
                <w:sz w:val="20"/>
              </w:rPr>
            </w:pPr>
            <w:proofErr w:type="spellStart"/>
            <w:r>
              <w:rPr>
                <w:sz w:val="20"/>
              </w:rPr>
              <w:t>Dimensi</w:t>
            </w:r>
            <w:proofErr w:type="spellEnd"/>
          </w:p>
        </w:tc>
        <w:tc>
          <w:tcPr>
            <w:tcW w:w="1081" w:type="dxa"/>
            <w:tcBorders>
              <w:top w:val="single" w:sz="4" w:space="0" w:color="000000"/>
              <w:bottom w:val="single" w:sz="4" w:space="0" w:color="auto"/>
            </w:tcBorders>
            <w:shd w:val="clear" w:color="auto" w:fill="E7E6E6"/>
            <w:vAlign w:val="center"/>
          </w:tcPr>
          <w:p w14:paraId="4A64CC48" w14:textId="59A3DCCC" w:rsidR="00E25DAB" w:rsidRDefault="00E25DAB" w:rsidP="00E71AAF">
            <w:pPr>
              <w:pStyle w:val="TableParagraph"/>
              <w:spacing w:line="243" w:lineRule="exact"/>
              <w:jc w:val="center"/>
              <w:rPr>
                <w:sz w:val="20"/>
              </w:rPr>
            </w:pPr>
            <w:r>
              <w:rPr>
                <w:sz w:val="20"/>
              </w:rPr>
              <w:t>Loading Factor</w:t>
            </w:r>
          </w:p>
        </w:tc>
        <w:tc>
          <w:tcPr>
            <w:tcW w:w="1076" w:type="dxa"/>
            <w:tcBorders>
              <w:top w:val="single" w:sz="4" w:space="0" w:color="000000"/>
              <w:bottom w:val="single" w:sz="4" w:space="0" w:color="auto"/>
            </w:tcBorders>
            <w:shd w:val="clear" w:color="auto" w:fill="E7E6E6"/>
            <w:vAlign w:val="center"/>
          </w:tcPr>
          <w:p w14:paraId="7E44E86A" w14:textId="29AA4017" w:rsidR="00E25DAB" w:rsidRDefault="00E25DAB" w:rsidP="00DE758F">
            <w:pPr>
              <w:pStyle w:val="TableParagraph"/>
              <w:spacing w:line="243" w:lineRule="exact"/>
              <w:ind w:left="108"/>
              <w:jc w:val="center"/>
              <w:rPr>
                <w:sz w:val="20"/>
              </w:rPr>
            </w:pPr>
            <w:r>
              <w:rPr>
                <w:sz w:val="20"/>
              </w:rPr>
              <w:t>Path Coefficient</w:t>
            </w:r>
          </w:p>
        </w:tc>
        <w:tc>
          <w:tcPr>
            <w:tcW w:w="1063" w:type="dxa"/>
            <w:tcBorders>
              <w:top w:val="single" w:sz="4" w:space="0" w:color="000000"/>
              <w:bottom w:val="single" w:sz="4" w:space="0" w:color="auto"/>
            </w:tcBorders>
            <w:shd w:val="clear" w:color="auto" w:fill="E7E6E6"/>
            <w:vAlign w:val="center"/>
          </w:tcPr>
          <w:p w14:paraId="2ED73B95" w14:textId="1DFEA7E7" w:rsidR="00E25DAB" w:rsidRDefault="00E25DAB" w:rsidP="00DE758F">
            <w:pPr>
              <w:pStyle w:val="TableParagraph"/>
              <w:spacing w:line="243" w:lineRule="exact"/>
              <w:ind w:left="108"/>
              <w:jc w:val="center"/>
              <w:rPr>
                <w:sz w:val="20"/>
              </w:rPr>
            </w:pPr>
            <w:r>
              <w:rPr>
                <w:sz w:val="20"/>
              </w:rPr>
              <w:t>Standard Error</w:t>
            </w:r>
          </w:p>
        </w:tc>
        <w:tc>
          <w:tcPr>
            <w:tcW w:w="903" w:type="dxa"/>
            <w:tcBorders>
              <w:top w:val="single" w:sz="4" w:space="0" w:color="000000"/>
              <w:bottom w:val="single" w:sz="4" w:space="0" w:color="auto"/>
            </w:tcBorders>
            <w:shd w:val="clear" w:color="auto" w:fill="E7E6E6"/>
            <w:vAlign w:val="center"/>
          </w:tcPr>
          <w:p w14:paraId="755BEEE3" w14:textId="472B3928" w:rsidR="00E25DAB" w:rsidRDefault="00E25DAB" w:rsidP="00DE758F">
            <w:pPr>
              <w:pStyle w:val="TableParagraph"/>
              <w:spacing w:line="243" w:lineRule="exact"/>
              <w:ind w:left="108"/>
              <w:jc w:val="center"/>
              <w:rPr>
                <w:sz w:val="20"/>
              </w:rPr>
            </w:pPr>
            <w:r>
              <w:rPr>
                <w:sz w:val="20"/>
              </w:rPr>
              <w:t>T Statistics</w:t>
            </w:r>
          </w:p>
        </w:tc>
      </w:tr>
      <w:tr w:rsidR="00E25DAB" w14:paraId="5360EE4F" w14:textId="62E85F51" w:rsidTr="00E25DAB">
        <w:trPr>
          <w:trHeight w:val="213"/>
          <w:jc w:val="center"/>
        </w:trPr>
        <w:tc>
          <w:tcPr>
            <w:tcW w:w="4043" w:type="dxa"/>
            <w:gridSpan w:val="2"/>
            <w:tcBorders>
              <w:top w:val="single" w:sz="4" w:space="0" w:color="auto"/>
            </w:tcBorders>
            <w:shd w:val="clear" w:color="auto" w:fill="E7E6E6"/>
          </w:tcPr>
          <w:p w14:paraId="65CD4754" w14:textId="194C6987" w:rsidR="00E25DAB" w:rsidRDefault="00E25DAB" w:rsidP="001C3967">
            <w:pPr>
              <w:ind w:left="134"/>
              <w:rPr>
                <w:sz w:val="2"/>
                <w:szCs w:val="2"/>
              </w:rPr>
            </w:pPr>
            <w:r>
              <w:rPr>
                <w:sz w:val="20"/>
                <w:szCs w:val="20"/>
              </w:rPr>
              <w:t>Independent:</w:t>
            </w:r>
          </w:p>
        </w:tc>
        <w:tc>
          <w:tcPr>
            <w:tcW w:w="1081" w:type="dxa"/>
            <w:tcBorders>
              <w:top w:val="single" w:sz="4" w:space="0" w:color="auto"/>
            </w:tcBorders>
            <w:shd w:val="clear" w:color="auto" w:fill="E7E6E6"/>
          </w:tcPr>
          <w:p w14:paraId="7CE9693C" w14:textId="6CC441BD" w:rsidR="00E25DAB" w:rsidRDefault="00E25DAB" w:rsidP="00005C13">
            <w:pPr>
              <w:rPr>
                <w:sz w:val="2"/>
                <w:szCs w:val="2"/>
              </w:rPr>
            </w:pPr>
          </w:p>
        </w:tc>
        <w:tc>
          <w:tcPr>
            <w:tcW w:w="1076" w:type="dxa"/>
            <w:tcBorders>
              <w:top w:val="single" w:sz="4" w:space="0" w:color="auto"/>
            </w:tcBorders>
            <w:shd w:val="clear" w:color="auto" w:fill="E7E6E6"/>
          </w:tcPr>
          <w:p w14:paraId="5B9F8253" w14:textId="7F06DBF1" w:rsidR="00E25DAB" w:rsidRDefault="00E25DAB" w:rsidP="00005C13">
            <w:pPr>
              <w:rPr>
                <w:sz w:val="2"/>
                <w:szCs w:val="2"/>
              </w:rPr>
            </w:pPr>
          </w:p>
        </w:tc>
        <w:tc>
          <w:tcPr>
            <w:tcW w:w="1063" w:type="dxa"/>
            <w:tcBorders>
              <w:top w:val="single" w:sz="4" w:space="0" w:color="auto"/>
            </w:tcBorders>
            <w:shd w:val="clear" w:color="auto" w:fill="E7E6E6"/>
          </w:tcPr>
          <w:p w14:paraId="619E2E7D" w14:textId="77777777" w:rsidR="00E25DAB" w:rsidRDefault="00E25DAB" w:rsidP="00005C13">
            <w:pPr>
              <w:rPr>
                <w:sz w:val="2"/>
                <w:szCs w:val="2"/>
              </w:rPr>
            </w:pPr>
          </w:p>
        </w:tc>
        <w:tc>
          <w:tcPr>
            <w:tcW w:w="903" w:type="dxa"/>
            <w:tcBorders>
              <w:top w:val="single" w:sz="4" w:space="0" w:color="auto"/>
            </w:tcBorders>
            <w:shd w:val="clear" w:color="auto" w:fill="E7E6E6"/>
          </w:tcPr>
          <w:p w14:paraId="079D9327" w14:textId="77777777" w:rsidR="00E25DAB" w:rsidRDefault="00E25DAB" w:rsidP="00005C13">
            <w:pPr>
              <w:rPr>
                <w:sz w:val="2"/>
                <w:szCs w:val="2"/>
              </w:rPr>
            </w:pPr>
          </w:p>
        </w:tc>
      </w:tr>
      <w:tr w:rsidR="00E25DAB" w14:paraId="1E791D7B" w14:textId="4322E1C9" w:rsidTr="00E25DAB">
        <w:trPr>
          <w:trHeight w:val="214"/>
          <w:jc w:val="center"/>
        </w:trPr>
        <w:tc>
          <w:tcPr>
            <w:tcW w:w="1917" w:type="dxa"/>
            <w:vMerge w:val="restart"/>
            <w:shd w:val="clear" w:color="auto" w:fill="E7E6E6"/>
          </w:tcPr>
          <w:p w14:paraId="606CC746" w14:textId="76B52992" w:rsidR="00E25DAB" w:rsidRDefault="00E25DAB" w:rsidP="001C3967">
            <w:pPr>
              <w:pStyle w:val="TableParagraph"/>
              <w:spacing w:line="220" w:lineRule="exact"/>
              <w:ind w:left="134"/>
              <w:rPr>
                <w:sz w:val="20"/>
              </w:rPr>
            </w:pPr>
            <w:r>
              <w:rPr>
                <w:sz w:val="20"/>
              </w:rPr>
              <w:t>Quality CSRD</w:t>
            </w:r>
          </w:p>
        </w:tc>
        <w:tc>
          <w:tcPr>
            <w:tcW w:w="2126" w:type="dxa"/>
            <w:shd w:val="clear" w:color="auto" w:fill="E7E6E6"/>
          </w:tcPr>
          <w:p w14:paraId="3269E2D6" w14:textId="6F59885A" w:rsidR="00E25DAB" w:rsidRDefault="00E25DAB" w:rsidP="001C3967">
            <w:pPr>
              <w:pStyle w:val="TableParagraph"/>
              <w:spacing w:line="220" w:lineRule="exact"/>
              <w:ind w:left="134"/>
              <w:rPr>
                <w:sz w:val="20"/>
              </w:rPr>
            </w:pPr>
            <w:r>
              <w:rPr>
                <w:sz w:val="20"/>
              </w:rPr>
              <w:t>Relevance</w:t>
            </w:r>
          </w:p>
        </w:tc>
        <w:tc>
          <w:tcPr>
            <w:tcW w:w="1081" w:type="dxa"/>
            <w:shd w:val="clear" w:color="auto" w:fill="E7E6E6"/>
            <w:vAlign w:val="center"/>
          </w:tcPr>
          <w:p w14:paraId="741336E6" w14:textId="60D8EC6A" w:rsidR="00E25DAB" w:rsidRDefault="00E25DAB" w:rsidP="00BE2028">
            <w:pPr>
              <w:pStyle w:val="TableParagraph"/>
              <w:spacing w:line="220" w:lineRule="exact"/>
              <w:ind w:left="141" w:right="143"/>
              <w:jc w:val="center"/>
              <w:rPr>
                <w:sz w:val="20"/>
              </w:rPr>
            </w:pPr>
            <w:r>
              <w:rPr>
                <w:sz w:val="20"/>
              </w:rPr>
              <w:t>0.892</w:t>
            </w:r>
          </w:p>
        </w:tc>
        <w:tc>
          <w:tcPr>
            <w:tcW w:w="1076" w:type="dxa"/>
            <w:shd w:val="clear" w:color="auto" w:fill="E7E6E6"/>
          </w:tcPr>
          <w:p w14:paraId="68FEAFF2" w14:textId="77157D38" w:rsidR="00E25DAB" w:rsidRDefault="00E25DAB" w:rsidP="00005C13">
            <w:pPr>
              <w:pStyle w:val="TableParagraph"/>
              <w:spacing w:line="220" w:lineRule="exact"/>
              <w:ind w:left="108"/>
              <w:rPr>
                <w:sz w:val="20"/>
              </w:rPr>
            </w:pPr>
          </w:p>
        </w:tc>
        <w:tc>
          <w:tcPr>
            <w:tcW w:w="1063" w:type="dxa"/>
            <w:shd w:val="clear" w:color="auto" w:fill="E7E6E6"/>
          </w:tcPr>
          <w:p w14:paraId="6822C1E6" w14:textId="77777777" w:rsidR="00E25DAB" w:rsidRDefault="00E25DAB" w:rsidP="00005C13">
            <w:pPr>
              <w:pStyle w:val="TableParagraph"/>
              <w:spacing w:line="220" w:lineRule="exact"/>
              <w:ind w:left="108"/>
              <w:rPr>
                <w:sz w:val="20"/>
              </w:rPr>
            </w:pPr>
          </w:p>
        </w:tc>
        <w:tc>
          <w:tcPr>
            <w:tcW w:w="903" w:type="dxa"/>
            <w:shd w:val="clear" w:color="auto" w:fill="E7E6E6"/>
          </w:tcPr>
          <w:p w14:paraId="2C3CB2B7" w14:textId="77777777" w:rsidR="00E25DAB" w:rsidRDefault="00E25DAB" w:rsidP="00005C13">
            <w:pPr>
              <w:pStyle w:val="TableParagraph"/>
              <w:spacing w:line="220" w:lineRule="exact"/>
              <w:ind w:left="108"/>
              <w:rPr>
                <w:sz w:val="20"/>
              </w:rPr>
            </w:pPr>
          </w:p>
        </w:tc>
      </w:tr>
      <w:tr w:rsidR="00E25DAB" w14:paraId="1499597E" w14:textId="2FA0D007" w:rsidTr="00E25DAB">
        <w:trPr>
          <w:trHeight w:val="214"/>
          <w:jc w:val="center"/>
        </w:trPr>
        <w:tc>
          <w:tcPr>
            <w:tcW w:w="1917" w:type="dxa"/>
            <w:vMerge/>
            <w:shd w:val="clear" w:color="auto" w:fill="E7E6E6"/>
          </w:tcPr>
          <w:p w14:paraId="69C8C077" w14:textId="77777777" w:rsidR="00E25DAB" w:rsidRPr="00DE758F" w:rsidRDefault="00E25DAB" w:rsidP="001C3967">
            <w:pPr>
              <w:ind w:left="134"/>
              <w:rPr>
                <w:sz w:val="20"/>
                <w:szCs w:val="20"/>
              </w:rPr>
            </w:pPr>
          </w:p>
        </w:tc>
        <w:tc>
          <w:tcPr>
            <w:tcW w:w="2126" w:type="dxa"/>
            <w:tcBorders>
              <w:top w:val="nil"/>
            </w:tcBorders>
            <w:shd w:val="clear" w:color="auto" w:fill="E7E6E6"/>
          </w:tcPr>
          <w:p w14:paraId="03F13B34" w14:textId="2DC0A0F6" w:rsidR="00E25DAB" w:rsidRPr="00DE758F" w:rsidRDefault="00E25DAB" w:rsidP="001C3967">
            <w:pPr>
              <w:ind w:left="134"/>
              <w:rPr>
                <w:sz w:val="20"/>
                <w:szCs w:val="20"/>
              </w:rPr>
            </w:pPr>
            <w:r w:rsidRPr="00DE758F">
              <w:rPr>
                <w:sz w:val="20"/>
                <w:szCs w:val="20"/>
              </w:rPr>
              <w:t>Fa</w:t>
            </w:r>
            <w:r>
              <w:rPr>
                <w:sz w:val="20"/>
                <w:szCs w:val="20"/>
              </w:rPr>
              <w:t xml:space="preserve">ithful </w:t>
            </w:r>
            <w:proofErr w:type="spellStart"/>
            <w:r>
              <w:rPr>
                <w:sz w:val="20"/>
                <w:szCs w:val="20"/>
              </w:rPr>
              <w:t>Representaton</w:t>
            </w:r>
            <w:proofErr w:type="spellEnd"/>
          </w:p>
        </w:tc>
        <w:tc>
          <w:tcPr>
            <w:tcW w:w="1081" w:type="dxa"/>
            <w:tcBorders>
              <w:top w:val="nil"/>
            </w:tcBorders>
            <w:shd w:val="clear" w:color="auto" w:fill="E7E6E6"/>
            <w:vAlign w:val="center"/>
          </w:tcPr>
          <w:p w14:paraId="1F42907A" w14:textId="0021BBED" w:rsidR="00E25DAB" w:rsidRPr="00DE758F" w:rsidRDefault="00E25DAB" w:rsidP="00BE2028">
            <w:pPr>
              <w:ind w:left="141" w:right="143"/>
              <w:jc w:val="center"/>
              <w:rPr>
                <w:sz w:val="20"/>
                <w:szCs w:val="20"/>
              </w:rPr>
            </w:pPr>
            <w:r>
              <w:rPr>
                <w:sz w:val="20"/>
                <w:szCs w:val="20"/>
              </w:rPr>
              <w:t>0.899</w:t>
            </w:r>
          </w:p>
        </w:tc>
        <w:tc>
          <w:tcPr>
            <w:tcW w:w="1076" w:type="dxa"/>
            <w:tcBorders>
              <w:top w:val="nil"/>
            </w:tcBorders>
            <w:shd w:val="clear" w:color="auto" w:fill="E7E6E6"/>
          </w:tcPr>
          <w:p w14:paraId="53DA8FD6" w14:textId="3EB0A7FD" w:rsidR="00E25DAB" w:rsidRPr="00DE758F" w:rsidRDefault="00E25DAB" w:rsidP="00005C13">
            <w:pPr>
              <w:rPr>
                <w:sz w:val="20"/>
                <w:szCs w:val="20"/>
              </w:rPr>
            </w:pPr>
          </w:p>
        </w:tc>
        <w:tc>
          <w:tcPr>
            <w:tcW w:w="1063" w:type="dxa"/>
            <w:tcBorders>
              <w:top w:val="nil"/>
            </w:tcBorders>
            <w:shd w:val="clear" w:color="auto" w:fill="E7E6E6"/>
          </w:tcPr>
          <w:p w14:paraId="6E6ECF76" w14:textId="77777777" w:rsidR="00E25DAB" w:rsidRPr="00DE758F" w:rsidRDefault="00E25DAB" w:rsidP="00005C13">
            <w:pPr>
              <w:rPr>
                <w:sz w:val="20"/>
                <w:szCs w:val="20"/>
              </w:rPr>
            </w:pPr>
          </w:p>
        </w:tc>
        <w:tc>
          <w:tcPr>
            <w:tcW w:w="903" w:type="dxa"/>
            <w:tcBorders>
              <w:top w:val="nil"/>
            </w:tcBorders>
            <w:shd w:val="clear" w:color="auto" w:fill="E7E6E6"/>
          </w:tcPr>
          <w:p w14:paraId="47596333" w14:textId="77777777" w:rsidR="00E25DAB" w:rsidRPr="00DE758F" w:rsidRDefault="00E25DAB" w:rsidP="00005C13">
            <w:pPr>
              <w:rPr>
                <w:sz w:val="20"/>
                <w:szCs w:val="20"/>
              </w:rPr>
            </w:pPr>
          </w:p>
        </w:tc>
      </w:tr>
      <w:tr w:rsidR="00E25DAB" w14:paraId="1E6ACC2A" w14:textId="4B3F8061" w:rsidTr="00E25DAB">
        <w:trPr>
          <w:trHeight w:val="209"/>
          <w:jc w:val="center"/>
        </w:trPr>
        <w:tc>
          <w:tcPr>
            <w:tcW w:w="1917" w:type="dxa"/>
            <w:vMerge/>
            <w:shd w:val="clear" w:color="auto" w:fill="E7E6E6"/>
          </w:tcPr>
          <w:p w14:paraId="0A8D54AF" w14:textId="77777777" w:rsidR="00E25DAB" w:rsidRPr="00DE758F" w:rsidRDefault="00E25DAB" w:rsidP="001C3967">
            <w:pPr>
              <w:pStyle w:val="TableParagraph"/>
              <w:ind w:left="134"/>
              <w:rPr>
                <w:sz w:val="20"/>
                <w:szCs w:val="20"/>
              </w:rPr>
            </w:pPr>
          </w:p>
        </w:tc>
        <w:tc>
          <w:tcPr>
            <w:tcW w:w="2126" w:type="dxa"/>
            <w:shd w:val="clear" w:color="auto" w:fill="E7E6E6"/>
          </w:tcPr>
          <w:p w14:paraId="3026189E" w14:textId="6625B98A" w:rsidR="00E25DAB" w:rsidRPr="00DE758F" w:rsidRDefault="00E25DAB" w:rsidP="001C3967">
            <w:pPr>
              <w:pStyle w:val="TableParagraph"/>
              <w:ind w:left="134"/>
              <w:rPr>
                <w:sz w:val="20"/>
                <w:szCs w:val="20"/>
              </w:rPr>
            </w:pPr>
            <w:r>
              <w:rPr>
                <w:sz w:val="20"/>
                <w:szCs w:val="20"/>
              </w:rPr>
              <w:t>Understandability</w:t>
            </w:r>
          </w:p>
        </w:tc>
        <w:tc>
          <w:tcPr>
            <w:tcW w:w="1081" w:type="dxa"/>
            <w:shd w:val="clear" w:color="auto" w:fill="E7E6E6"/>
            <w:vAlign w:val="center"/>
          </w:tcPr>
          <w:p w14:paraId="2E1C4477" w14:textId="2A7865C9" w:rsidR="00E25DAB" w:rsidRPr="00DE758F" w:rsidRDefault="00E25DAB" w:rsidP="00BE2028">
            <w:pPr>
              <w:pStyle w:val="TableParagraph"/>
              <w:ind w:left="141" w:right="143"/>
              <w:jc w:val="center"/>
              <w:rPr>
                <w:sz w:val="20"/>
                <w:szCs w:val="20"/>
              </w:rPr>
            </w:pPr>
            <w:r>
              <w:rPr>
                <w:sz w:val="20"/>
                <w:szCs w:val="20"/>
              </w:rPr>
              <w:t xml:space="preserve"> 0.917</w:t>
            </w:r>
          </w:p>
        </w:tc>
        <w:tc>
          <w:tcPr>
            <w:tcW w:w="1076" w:type="dxa"/>
            <w:shd w:val="clear" w:color="auto" w:fill="E7E6E6"/>
          </w:tcPr>
          <w:p w14:paraId="0B948880" w14:textId="42B5AB7B" w:rsidR="00E25DAB" w:rsidRPr="00DE758F" w:rsidRDefault="00E25DAB" w:rsidP="00005C13">
            <w:pPr>
              <w:pStyle w:val="TableParagraph"/>
              <w:ind w:left="108"/>
              <w:rPr>
                <w:sz w:val="20"/>
                <w:szCs w:val="20"/>
              </w:rPr>
            </w:pPr>
          </w:p>
        </w:tc>
        <w:tc>
          <w:tcPr>
            <w:tcW w:w="1063" w:type="dxa"/>
            <w:shd w:val="clear" w:color="auto" w:fill="E7E6E6"/>
          </w:tcPr>
          <w:p w14:paraId="75F775D2" w14:textId="77777777" w:rsidR="00E25DAB" w:rsidRPr="00DE758F" w:rsidRDefault="00E25DAB" w:rsidP="00005C13">
            <w:pPr>
              <w:pStyle w:val="TableParagraph"/>
              <w:ind w:left="108"/>
              <w:rPr>
                <w:sz w:val="20"/>
                <w:szCs w:val="20"/>
              </w:rPr>
            </w:pPr>
          </w:p>
        </w:tc>
        <w:tc>
          <w:tcPr>
            <w:tcW w:w="903" w:type="dxa"/>
            <w:shd w:val="clear" w:color="auto" w:fill="E7E6E6"/>
          </w:tcPr>
          <w:p w14:paraId="5E2CF5CF" w14:textId="77777777" w:rsidR="00E25DAB" w:rsidRPr="00DE758F" w:rsidRDefault="00E25DAB" w:rsidP="00005C13">
            <w:pPr>
              <w:pStyle w:val="TableParagraph"/>
              <w:ind w:left="108"/>
              <w:rPr>
                <w:sz w:val="20"/>
                <w:szCs w:val="20"/>
              </w:rPr>
            </w:pPr>
          </w:p>
        </w:tc>
      </w:tr>
      <w:tr w:rsidR="00E25DAB" w14:paraId="0970C4F5" w14:textId="77777777" w:rsidTr="00E25DAB">
        <w:trPr>
          <w:trHeight w:val="209"/>
          <w:jc w:val="center"/>
        </w:trPr>
        <w:tc>
          <w:tcPr>
            <w:tcW w:w="1917" w:type="dxa"/>
            <w:vMerge/>
            <w:shd w:val="clear" w:color="auto" w:fill="E7E6E6"/>
          </w:tcPr>
          <w:p w14:paraId="35EAB8F3" w14:textId="77777777" w:rsidR="00E25DAB" w:rsidRPr="00DE758F" w:rsidRDefault="00E25DAB" w:rsidP="001C3967">
            <w:pPr>
              <w:pStyle w:val="TableParagraph"/>
              <w:ind w:left="134"/>
              <w:rPr>
                <w:sz w:val="20"/>
                <w:szCs w:val="20"/>
              </w:rPr>
            </w:pPr>
          </w:p>
        </w:tc>
        <w:tc>
          <w:tcPr>
            <w:tcW w:w="2126" w:type="dxa"/>
            <w:shd w:val="clear" w:color="auto" w:fill="E7E6E6"/>
          </w:tcPr>
          <w:p w14:paraId="08C6172D" w14:textId="0614B82C" w:rsidR="00E25DAB" w:rsidRPr="00DE758F" w:rsidRDefault="00E25DAB" w:rsidP="001C3967">
            <w:pPr>
              <w:pStyle w:val="TableParagraph"/>
              <w:ind w:left="134"/>
              <w:rPr>
                <w:sz w:val="20"/>
                <w:szCs w:val="20"/>
              </w:rPr>
            </w:pPr>
            <w:r>
              <w:rPr>
                <w:sz w:val="20"/>
                <w:szCs w:val="20"/>
              </w:rPr>
              <w:t>Comparability</w:t>
            </w:r>
          </w:p>
        </w:tc>
        <w:tc>
          <w:tcPr>
            <w:tcW w:w="1081" w:type="dxa"/>
            <w:shd w:val="clear" w:color="auto" w:fill="E7E6E6"/>
            <w:vAlign w:val="center"/>
          </w:tcPr>
          <w:p w14:paraId="3273C51B" w14:textId="6C9BDDAA" w:rsidR="00E25DAB" w:rsidRPr="00DE758F" w:rsidRDefault="00E25DAB" w:rsidP="00BE2028">
            <w:pPr>
              <w:pStyle w:val="TableParagraph"/>
              <w:ind w:left="141" w:right="143"/>
              <w:jc w:val="center"/>
              <w:rPr>
                <w:sz w:val="20"/>
                <w:szCs w:val="20"/>
              </w:rPr>
            </w:pPr>
            <w:r>
              <w:rPr>
                <w:sz w:val="20"/>
                <w:szCs w:val="20"/>
              </w:rPr>
              <w:t>0.949</w:t>
            </w:r>
          </w:p>
        </w:tc>
        <w:tc>
          <w:tcPr>
            <w:tcW w:w="1076" w:type="dxa"/>
            <w:shd w:val="clear" w:color="auto" w:fill="E7E6E6"/>
          </w:tcPr>
          <w:p w14:paraId="1E5D79A6" w14:textId="313B1865" w:rsidR="00E25DAB" w:rsidRPr="00DE758F" w:rsidRDefault="00E25DAB" w:rsidP="00005C13">
            <w:pPr>
              <w:pStyle w:val="TableParagraph"/>
              <w:ind w:left="108"/>
              <w:rPr>
                <w:sz w:val="20"/>
                <w:szCs w:val="20"/>
              </w:rPr>
            </w:pPr>
          </w:p>
        </w:tc>
        <w:tc>
          <w:tcPr>
            <w:tcW w:w="1063" w:type="dxa"/>
            <w:shd w:val="clear" w:color="auto" w:fill="E7E6E6"/>
          </w:tcPr>
          <w:p w14:paraId="03108ACF" w14:textId="77777777" w:rsidR="00E25DAB" w:rsidRPr="00DE758F" w:rsidRDefault="00E25DAB" w:rsidP="00005C13">
            <w:pPr>
              <w:pStyle w:val="TableParagraph"/>
              <w:ind w:left="108"/>
              <w:rPr>
                <w:sz w:val="20"/>
                <w:szCs w:val="20"/>
              </w:rPr>
            </w:pPr>
          </w:p>
        </w:tc>
        <w:tc>
          <w:tcPr>
            <w:tcW w:w="903" w:type="dxa"/>
            <w:shd w:val="clear" w:color="auto" w:fill="E7E6E6"/>
          </w:tcPr>
          <w:p w14:paraId="2CA9CED6" w14:textId="77777777" w:rsidR="00E25DAB" w:rsidRPr="00DE758F" w:rsidRDefault="00E25DAB" w:rsidP="00005C13">
            <w:pPr>
              <w:pStyle w:val="TableParagraph"/>
              <w:ind w:left="108"/>
              <w:rPr>
                <w:sz w:val="20"/>
                <w:szCs w:val="20"/>
              </w:rPr>
            </w:pPr>
          </w:p>
        </w:tc>
      </w:tr>
      <w:tr w:rsidR="00E25DAB" w14:paraId="6F9486C9" w14:textId="7DDEE79A" w:rsidTr="00E25DAB">
        <w:trPr>
          <w:trHeight w:val="190"/>
          <w:jc w:val="center"/>
        </w:trPr>
        <w:tc>
          <w:tcPr>
            <w:tcW w:w="1917" w:type="dxa"/>
            <w:tcBorders>
              <w:top w:val="nil"/>
              <w:bottom w:val="nil"/>
            </w:tcBorders>
            <w:shd w:val="clear" w:color="auto" w:fill="E7E6E6"/>
          </w:tcPr>
          <w:p w14:paraId="0D1F1D18" w14:textId="69A9E530" w:rsidR="00E25DAB" w:rsidRPr="001C3967" w:rsidRDefault="00E25DAB" w:rsidP="001C3967">
            <w:pPr>
              <w:ind w:left="134"/>
              <w:rPr>
                <w:sz w:val="20"/>
                <w:szCs w:val="20"/>
              </w:rPr>
            </w:pPr>
            <w:r>
              <w:rPr>
                <w:sz w:val="20"/>
                <w:szCs w:val="20"/>
              </w:rPr>
              <w:t>Interaction:</w:t>
            </w:r>
          </w:p>
        </w:tc>
        <w:tc>
          <w:tcPr>
            <w:tcW w:w="2126" w:type="dxa"/>
            <w:tcBorders>
              <w:top w:val="nil"/>
              <w:bottom w:val="nil"/>
            </w:tcBorders>
            <w:shd w:val="clear" w:color="auto" w:fill="E7E6E6"/>
          </w:tcPr>
          <w:p w14:paraId="379BA921" w14:textId="77777777" w:rsidR="00E25DAB" w:rsidRPr="001C3967" w:rsidRDefault="00E25DAB" w:rsidP="001C3967">
            <w:pPr>
              <w:ind w:left="134"/>
              <w:rPr>
                <w:sz w:val="20"/>
                <w:szCs w:val="20"/>
              </w:rPr>
            </w:pPr>
          </w:p>
        </w:tc>
        <w:tc>
          <w:tcPr>
            <w:tcW w:w="1081" w:type="dxa"/>
            <w:tcBorders>
              <w:top w:val="nil"/>
              <w:bottom w:val="nil"/>
            </w:tcBorders>
            <w:shd w:val="clear" w:color="auto" w:fill="E7E6E6"/>
          </w:tcPr>
          <w:p w14:paraId="4E0B03F3" w14:textId="6A2F632A" w:rsidR="00E25DAB" w:rsidRPr="001C3967" w:rsidRDefault="00E25DAB" w:rsidP="00BE2028">
            <w:pPr>
              <w:ind w:left="141" w:right="143"/>
              <w:rPr>
                <w:sz w:val="20"/>
                <w:szCs w:val="20"/>
              </w:rPr>
            </w:pPr>
          </w:p>
        </w:tc>
        <w:tc>
          <w:tcPr>
            <w:tcW w:w="1076" w:type="dxa"/>
            <w:tcBorders>
              <w:top w:val="nil"/>
              <w:bottom w:val="nil"/>
            </w:tcBorders>
            <w:shd w:val="clear" w:color="auto" w:fill="E7E6E6"/>
          </w:tcPr>
          <w:p w14:paraId="67429ADB" w14:textId="478A685A" w:rsidR="00E25DAB" w:rsidRPr="001C3967" w:rsidRDefault="00E25DAB" w:rsidP="00005C13">
            <w:pPr>
              <w:rPr>
                <w:sz w:val="20"/>
                <w:szCs w:val="20"/>
              </w:rPr>
            </w:pPr>
          </w:p>
        </w:tc>
        <w:tc>
          <w:tcPr>
            <w:tcW w:w="1063" w:type="dxa"/>
            <w:tcBorders>
              <w:top w:val="nil"/>
              <w:bottom w:val="nil"/>
            </w:tcBorders>
            <w:shd w:val="clear" w:color="auto" w:fill="E7E6E6"/>
          </w:tcPr>
          <w:p w14:paraId="2E281AF1" w14:textId="77777777" w:rsidR="00E25DAB" w:rsidRPr="001C3967" w:rsidRDefault="00E25DAB" w:rsidP="00005C13">
            <w:pPr>
              <w:rPr>
                <w:sz w:val="20"/>
                <w:szCs w:val="20"/>
              </w:rPr>
            </w:pPr>
          </w:p>
        </w:tc>
        <w:tc>
          <w:tcPr>
            <w:tcW w:w="903" w:type="dxa"/>
            <w:tcBorders>
              <w:top w:val="nil"/>
              <w:bottom w:val="nil"/>
            </w:tcBorders>
            <w:shd w:val="clear" w:color="auto" w:fill="E7E6E6"/>
          </w:tcPr>
          <w:p w14:paraId="6B68043E" w14:textId="77777777" w:rsidR="00E25DAB" w:rsidRPr="001C3967" w:rsidRDefault="00E25DAB" w:rsidP="00005C13">
            <w:pPr>
              <w:rPr>
                <w:sz w:val="20"/>
                <w:szCs w:val="20"/>
              </w:rPr>
            </w:pPr>
          </w:p>
        </w:tc>
      </w:tr>
      <w:tr w:rsidR="00E25DAB" w14:paraId="5E282141" w14:textId="77777777" w:rsidTr="00E25DAB">
        <w:trPr>
          <w:trHeight w:val="190"/>
          <w:jc w:val="center"/>
        </w:trPr>
        <w:tc>
          <w:tcPr>
            <w:tcW w:w="1917" w:type="dxa"/>
            <w:tcBorders>
              <w:top w:val="nil"/>
            </w:tcBorders>
            <w:shd w:val="clear" w:color="auto" w:fill="E7E6E6"/>
          </w:tcPr>
          <w:p w14:paraId="241A469A" w14:textId="415AC8D3" w:rsidR="00E25DAB" w:rsidRPr="001C3967" w:rsidRDefault="00E25DAB" w:rsidP="001C3967">
            <w:pPr>
              <w:ind w:left="134"/>
              <w:rPr>
                <w:sz w:val="20"/>
                <w:szCs w:val="20"/>
              </w:rPr>
            </w:pPr>
            <w:proofErr w:type="spellStart"/>
            <w:r>
              <w:rPr>
                <w:sz w:val="20"/>
                <w:szCs w:val="20"/>
              </w:rPr>
              <w:t>Reputatuion</w:t>
            </w:r>
            <w:proofErr w:type="spellEnd"/>
            <w:r>
              <w:rPr>
                <w:sz w:val="20"/>
                <w:szCs w:val="20"/>
              </w:rPr>
              <w:t>*QSRD</w:t>
            </w:r>
          </w:p>
        </w:tc>
        <w:tc>
          <w:tcPr>
            <w:tcW w:w="2126" w:type="dxa"/>
            <w:tcBorders>
              <w:top w:val="nil"/>
            </w:tcBorders>
            <w:shd w:val="clear" w:color="auto" w:fill="E7E6E6"/>
          </w:tcPr>
          <w:p w14:paraId="1F135771" w14:textId="77777777" w:rsidR="00E25DAB" w:rsidRPr="001C3967" w:rsidRDefault="00E25DAB" w:rsidP="001C3967">
            <w:pPr>
              <w:ind w:left="134"/>
              <w:rPr>
                <w:sz w:val="20"/>
                <w:szCs w:val="20"/>
              </w:rPr>
            </w:pPr>
          </w:p>
        </w:tc>
        <w:tc>
          <w:tcPr>
            <w:tcW w:w="1081" w:type="dxa"/>
            <w:tcBorders>
              <w:top w:val="nil"/>
            </w:tcBorders>
            <w:shd w:val="clear" w:color="auto" w:fill="E7E6E6"/>
          </w:tcPr>
          <w:p w14:paraId="440E4731" w14:textId="021F0DA0" w:rsidR="00E25DAB" w:rsidRPr="001C3967" w:rsidRDefault="00E25DAB" w:rsidP="00BE2028">
            <w:pPr>
              <w:ind w:left="141" w:right="143"/>
              <w:rPr>
                <w:sz w:val="20"/>
                <w:szCs w:val="20"/>
              </w:rPr>
            </w:pPr>
          </w:p>
        </w:tc>
        <w:tc>
          <w:tcPr>
            <w:tcW w:w="1076" w:type="dxa"/>
            <w:tcBorders>
              <w:top w:val="nil"/>
            </w:tcBorders>
            <w:shd w:val="clear" w:color="auto" w:fill="E7E6E6"/>
            <w:vAlign w:val="bottom"/>
          </w:tcPr>
          <w:p w14:paraId="72CE0507" w14:textId="4E6EA500" w:rsidR="00E25DAB" w:rsidRPr="001C3967" w:rsidRDefault="00E25DAB" w:rsidP="00BE2028">
            <w:pPr>
              <w:jc w:val="center"/>
              <w:rPr>
                <w:sz w:val="20"/>
                <w:szCs w:val="20"/>
              </w:rPr>
            </w:pPr>
            <w:r>
              <w:rPr>
                <w:sz w:val="20"/>
                <w:szCs w:val="20"/>
              </w:rPr>
              <w:t>-0.043</w:t>
            </w:r>
          </w:p>
        </w:tc>
        <w:tc>
          <w:tcPr>
            <w:tcW w:w="1063" w:type="dxa"/>
            <w:tcBorders>
              <w:top w:val="nil"/>
            </w:tcBorders>
            <w:shd w:val="clear" w:color="auto" w:fill="E7E6E6"/>
            <w:vAlign w:val="bottom"/>
          </w:tcPr>
          <w:p w14:paraId="64A3E2C3" w14:textId="3C74B66F" w:rsidR="00E25DAB" w:rsidRPr="001C3967" w:rsidRDefault="00E25DAB" w:rsidP="00BE2028">
            <w:pPr>
              <w:jc w:val="center"/>
              <w:rPr>
                <w:sz w:val="20"/>
                <w:szCs w:val="20"/>
              </w:rPr>
            </w:pPr>
            <w:r>
              <w:rPr>
                <w:sz w:val="20"/>
                <w:szCs w:val="20"/>
              </w:rPr>
              <w:t>0.093</w:t>
            </w:r>
          </w:p>
        </w:tc>
        <w:tc>
          <w:tcPr>
            <w:tcW w:w="903" w:type="dxa"/>
            <w:tcBorders>
              <w:top w:val="nil"/>
            </w:tcBorders>
            <w:shd w:val="clear" w:color="auto" w:fill="E7E6E6"/>
            <w:vAlign w:val="bottom"/>
          </w:tcPr>
          <w:p w14:paraId="7E3F518A" w14:textId="34151D34" w:rsidR="00E25DAB" w:rsidRPr="001C3967" w:rsidRDefault="00E25DAB" w:rsidP="00BE2028">
            <w:pPr>
              <w:jc w:val="center"/>
              <w:rPr>
                <w:sz w:val="20"/>
                <w:szCs w:val="20"/>
              </w:rPr>
            </w:pPr>
            <w:r>
              <w:rPr>
                <w:sz w:val="20"/>
                <w:szCs w:val="20"/>
              </w:rPr>
              <w:t>0.470</w:t>
            </w:r>
          </w:p>
        </w:tc>
      </w:tr>
    </w:tbl>
    <w:p w14:paraId="46B7B9AA" w14:textId="77777777" w:rsidR="00702151" w:rsidRDefault="00BE2028" w:rsidP="00702151">
      <w:pPr>
        <w:ind w:right="2406"/>
        <w:rPr>
          <w:bCs/>
          <w:sz w:val="20"/>
          <w:szCs w:val="20"/>
        </w:rPr>
      </w:pPr>
      <w:r>
        <w:rPr>
          <w:bCs/>
          <w:sz w:val="20"/>
          <w:szCs w:val="20"/>
        </w:rPr>
        <w:tab/>
        <w:t xml:space="preserve"> </w:t>
      </w:r>
    </w:p>
    <w:p w14:paraId="15926871" w14:textId="77777777" w:rsidR="005F1A32" w:rsidRDefault="00416F39" w:rsidP="005F1A32">
      <w:pPr>
        <w:ind w:left="284" w:right="222" w:firstLine="436"/>
        <w:jc w:val="both"/>
      </w:pPr>
      <w:proofErr w:type="spellStart"/>
      <w:r>
        <w:t>Indikator</w:t>
      </w:r>
      <w:proofErr w:type="spellEnd"/>
      <w:r>
        <w:t xml:space="preserve"> </w:t>
      </w:r>
      <w:proofErr w:type="spellStart"/>
      <w:r>
        <w:t>pengukur</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yang </w:t>
      </w:r>
      <w:proofErr w:type="spellStart"/>
      <w:r>
        <w:t>ditunjukkan</w:t>
      </w:r>
      <w:proofErr w:type="spellEnd"/>
      <w:r>
        <w:t xml:space="preserve"> pada </w:t>
      </w:r>
      <w:proofErr w:type="spellStart"/>
      <w:r>
        <w:t>tabel</w:t>
      </w:r>
      <w:proofErr w:type="spellEnd"/>
      <w:r>
        <w:t xml:space="preserve"> 5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loading factor pada </w:t>
      </w:r>
      <w:proofErr w:type="spellStart"/>
      <w:r>
        <w:t>dimensi</w:t>
      </w:r>
      <w:proofErr w:type="spellEnd"/>
      <w:r>
        <w:t xml:space="preserve"> </w:t>
      </w:r>
      <w:proofErr w:type="spellStart"/>
      <w:r>
        <w:t>relevansi</w:t>
      </w:r>
      <w:proofErr w:type="spellEnd"/>
      <w:r>
        <w:t xml:space="preserve"> </w:t>
      </w:r>
      <w:proofErr w:type="spellStart"/>
      <w:r>
        <w:t>sebesar</w:t>
      </w:r>
      <w:proofErr w:type="spellEnd"/>
      <w:r>
        <w:t xml:space="preserve"> 0.892. Hal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keragaman</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perusahaan</w:t>
      </w:r>
      <w:proofErr w:type="spellEnd"/>
      <w:r>
        <w:t xml:space="preserve"> </w:t>
      </w:r>
      <w:proofErr w:type="spellStart"/>
      <w:r>
        <w:t>mampu</w:t>
      </w:r>
      <w:proofErr w:type="spellEnd"/>
      <w:r>
        <w:t xml:space="preserve"> </w:t>
      </w:r>
      <w:proofErr w:type="spellStart"/>
      <w:r>
        <w:t>dipresentasikan</w:t>
      </w:r>
      <w:proofErr w:type="spellEnd"/>
      <w:r>
        <w:t xml:space="preserve"> oleh </w:t>
      </w:r>
      <w:proofErr w:type="spellStart"/>
      <w:r>
        <w:t>dimensi</w:t>
      </w:r>
      <w:proofErr w:type="spellEnd"/>
      <w:r>
        <w:t xml:space="preserve"> </w:t>
      </w:r>
      <w:proofErr w:type="spellStart"/>
      <w:r>
        <w:t>relevansi</w:t>
      </w:r>
      <w:proofErr w:type="spellEnd"/>
      <w:r>
        <w:t xml:space="preserve"> </w:t>
      </w:r>
      <w:proofErr w:type="spellStart"/>
      <w:r>
        <w:t>sebesar</w:t>
      </w:r>
      <w:proofErr w:type="spellEnd"/>
      <w:r>
        <w:t xml:space="preserve"> 89.2%. </w:t>
      </w:r>
      <w:proofErr w:type="spellStart"/>
      <w:r>
        <w:t>Dengan</w:t>
      </w:r>
      <w:proofErr w:type="spellEnd"/>
      <w:r>
        <w:t xml:space="preserve"> kata lain, </w:t>
      </w:r>
      <w:proofErr w:type="spellStart"/>
      <w:r>
        <w:t>kontribusi</w:t>
      </w:r>
      <w:proofErr w:type="spellEnd"/>
      <w:r>
        <w:t xml:space="preserve"> </w:t>
      </w:r>
      <w:proofErr w:type="spellStart"/>
      <w:r>
        <w:t>dimensi</w:t>
      </w:r>
      <w:proofErr w:type="spellEnd"/>
      <w:r>
        <w:t xml:space="preserve"> </w:t>
      </w:r>
      <w:proofErr w:type="spellStart"/>
      <w:r>
        <w:t>relevansi</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kualitas</w:t>
      </w:r>
      <w:proofErr w:type="spellEnd"/>
      <w:r>
        <w:t xml:space="preserve"> CSRD </w:t>
      </w:r>
      <w:proofErr w:type="spellStart"/>
      <w:r>
        <w:t>sebesar</w:t>
      </w:r>
      <w:proofErr w:type="spellEnd"/>
      <w:r>
        <w:t xml:space="preserve"> 89.2%.</w:t>
      </w:r>
      <w:r w:rsidR="005F1A32">
        <w:t xml:space="preserve"> </w:t>
      </w:r>
      <w:proofErr w:type="spellStart"/>
      <w:r w:rsidR="005F1A32">
        <w:t>Niilai</w:t>
      </w:r>
      <w:proofErr w:type="spellEnd"/>
      <w:r w:rsidR="005F1A32">
        <w:t xml:space="preserve"> loading factor </w:t>
      </w:r>
      <w:proofErr w:type="spellStart"/>
      <w:r w:rsidR="005F1A32">
        <w:t>dimensi</w:t>
      </w:r>
      <w:proofErr w:type="spellEnd"/>
      <w:r w:rsidR="005F1A32">
        <w:t xml:space="preserve"> faithful representation </w:t>
      </w:r>
      <w:proofErr w:type="spellStart"/>
      <w:r w:rsidR="005F1A32">
        <w:t>sebesar</w:t>
      </w:r>
      <w:proofErr w:type="spellEnd"/>
      <w:r w:rsidR="005F1A32">
        <w:t xml:space="preserve"> 0.899. Hal </w:t>
      </w:r>
      <w:proofErr w:type="spellStart"/>
      <w:r w:rsidR="005F1A32">
        <w:t>ini</w:t>
      </w:r>
      <w:proofErr w:type="spellEnd"/>
      <w:r w:rsidR="005F1A32">
        <w:t xml:space="preserve"> </w:t>
      </w:r>
      <w:proofErr w:type="spellStart"/>
      <w:r w:rsidR="005F1A32">
        <w:t>berarti</w:t>
      </w:r>
      <w:proofErr w:type="spellEnd"/>
      <w:r w:rsidR="005F1A32">
        <w:t xml:space="preserve"> </w:t>
      </w:r>
      <w:proofErr w:type="spellStart"/>
      <w:r w:rsidR="005F1A32">
        <w:t>keragaman</w:t>
      </w:r>
      <w:proofErr w:type="spellEnd"/>
      <w:r w:rsidR="005F1A32">
        <w:t xml:space="preserve"> </w:t>
      </w:r>
      <w:proofErr w:type="spellStart"/>
      <w:r w:rsidR="005F1A32">
        <w:t>variabel</w:t>
      </w:r>
      <w:proofErr w:type="spellEnd"/>
      <w:r w:rsidR="005F1A32">
        <w:t xml:space="preserve"> </w:t>
      </w:r>
      <w:proofErr w:type="spellStart"/>
      <w:r w:rsidR="005F1A32">
        <w:t>kualitas</w:t>
      </w:r>
      <w:proofErr w:type="spellEnd"/>
      <w:r w:rsidR="005F1A32">
        <w:t xml:space="preserve"> </w:t>
      </w:r>
      <w:proofErr w:type="spellStart"/>
      <w:r w:rsidR="005F1A32">
        <w:t>pengungkapan</w:t>
      </w:r>
      <w:proofErr w:type="spellEnd"/>
      <w:r w:rsidR="005F1A32">
        <w:t xml:space="preserve"> </w:t>
      </w:r>
      <w:proofErr w:type="spellStart"/>
      <w:r w:rsidR="005F1A32">
        <w:t>tanggung</w:t>
      </w:r>
      <w:proofErr w:type="spellEnd"/>
      <w:r w:rsidR="005F1A32">
        <w:t xml:space="preserve"> </w:t>
      </w:r>
      <w:proofErr w:type="spellStart"/>
      <w:r w:rsidR="005F1A32">
        <w:t>jawab</w:t>
      </w:r>
      <w:proofErr w:type="spellEnd"/>
      <w:r w:rsidR="005F1A32">
        <w:t xml:space="preserve"> </w:t>
      </w:r>
      <w:proofErr w:type="spellStart"/>
      <w:r w:rsidR="005F1A32">
        <w:t>sosial</w:t>
      </w:r>
      <w:proofErr w:type="spellEnd"/>
      <w:r w:rsidR="005F1A32">
        <w:t xml:space="preserve"> </w:t>
      </w:r>
      <w:proofErr w:type="spellStart"/>
      <w:r w:rsidR="005F1A32">
        <w:t>perusahaan</w:t>
      </w:r>
      <w:proofErr w:type="spellEnd"/>
      <w:r w:rsidR="005F1A32">
        <w:t xml:space="preserve"> </w:t>
      </w:r>
      <w:proofErr w:type="spellStart"/>
      <w:r w:rsidR="005F1A32">
        <w:t>mampu</w:t>
      </w:r>
      <w:proofErr w:type="spellEnd"/>
      <w:r w:rsidR="005F1A32">
        <w:t xml:space="preserve"> </w:t>
      </w:r>
      <w:proofErr w:type="spellStart"/>
      <w:r w:rsidR="005F1A32">
        <w:t>dipresentasikan</w:t>
      </w:r>
      <w:proofErr w:type="spellEnd"/>
      <w:r w:rsidR="005F1A32">
        <w:t xml:space="preserve"> dan </w:t>
      </w:r>
      <w:proofErr w:type="spellStart"/>
      <w:r w:rsidR="005F1A32">
        <w:t>diukur</w:t>
      </w:r>
      <w:proofErr w:type="spellEnd"/>
      <w:r w:rsidR="005F1A32">
        <w:t xml:space="preserve"> oleh </w:t>
      </w:r>
      <w:proofErr w:type="spellStart"/>
      <w:r w:rsidR="005F1A32">
        <w:t>dimensi</w:t>
      </w:r>
      <w:proofErr w:type="spellEnd"/>
      <w:r w:rsidR="005F1A32">
        <w:t xml:space="preserve"> faithful representation </w:t>
      </w:r>
      <w:proofErr w:type="spellStart"/>
      <w:r w:rsidR="005F1A32">
        <w:t>sebesar</w:t>
      </w:r>
      <w:proofErr w:type="spellEnd"/>
      <w:r w:rsidR="005F1A32">
        <w:t xml:space="preserve"> 89.2%. </w:t>
      </w:r>
    </w:p>
    <w:p w14:paraId="6C90DA4C" w14:textId="62165742" w:rsidR="00416F39" w:rsidRDefault="005F1A32" w:rsidP="005F1A32">
      <w:pPr>
        <w:ind w:left="284" w:right="222" w:firstLine="436"/>
        <w:jc w:val="both"/>
      </w:pPr>
      <w:proofErr w:type="spellStart"/>
      <w:r>
        <w:t>Selanjutnya</w:t>
      </w:r>
      <w:proofErr w:type="spellEnd"/>
      <w:r>
        <w:t xml:space="preserve">, </w:t>
      </w:r>
      <w:proofErr w:type="spellStart"/>
      <w:r>
        <w:t>nilai</w:t>
      </w:r>
      <w:proofErr w:type="spellEnd"/>
      <w:r>
        <w:t xml:space="preserve"> loading factor pada </w:t>
      </w:r>
      <w:proofErr w:type="spellStart"/>
      <w:r>
        <w:t>dimensi</w:t>
      </w:r>
      <w:proofErr w:type="spellEnd"/>
      <w:r>
        <w:t xml:space="preserve"> understandability </w:t>
      </w:r>
      <w:proofErr w:type="spellStart"/>
      <w:r>
        <w:t>sebesar</w:t>
      </w:r>
      <w:proofErr w:type="spellEnd"/>
      <w:r>
        <w:t xml:space="preserve"> 0.917. Hal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keragaman</w:t>
      </w:r>
      <w:proofErr w:type="spellEnd"/>
      <w:r>
        <w:t xml:space="preserve"> </w:t>
      </w:r>
      <w:proofErr w:type="spellStart"/>
      <w:r>
        <w:t>variabel</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perusahaan</w:t>
      </w:r>
      <w:proofErr w:type="spellEnd"/>
      <w:r>
        <w:t xml:space="preserve"> </w:t>
      </w:r>
      <w:proofErr w:type="spellStart"/>
      <w:r>
        <w:t>mampu</w:t>
      </w:r>
      <w:proofErr w:type="spellEnd"/>
      <w:r>
        <w:t xml:space="preserve"> </w:t>
      </w:r>
      <w:proofErr w:type="spellStart"/>
      <w:r>
        <w:t>direpresentasikan</w:t>
      </w:r>
      <w:proofErr w:type="spellEnd"/>
      <w:r>
        <w:t xml:space="preserve"> dan </w:t>
      </w:r>
      <w:proofErr w:type="spellStart"/>
      <w:r>
        <w:t>diukur</w:t>
      </w:r>
      <w:proofErr w:type="spellEnd"/>
      <w:r>
        <w:t xml:space="preserve"> oleh </w:t>
      </w:r>
      <w:proofErr w:type="spellStart"/>
      <w:r>
        <w:t>dimensi</w:t>
      </w:r>
      <w:proofErr w:type="spellEnd"/>
      <w:r>
        <w:t xml:space="preserve"> understandability </w:t>
      </w:r>
      <w:proofErr w:type="spellStart"/>
      <w:r>
        <w:t>sebesar</w:t>
      </w:r>
      <w:proofErr w:type="spellEnd"/>
      <w:r>
        <w:t xml:space="preserve"> 91.7%. Nilai loading factor pada </w:t>
      </w:r>
      <w:proofErr w:type="spellStart"/>
      <w:r>
        <w:t>dimensi</w:t>
      </w:r>
      <w:proofErr w:type="spellEnd"/>
      <w:r>
        <w:t xml:space="preserve"> comparability </w:t>
      </w:r>
      <w:proofErr w:type="spellStart"/>
      <w:r>
        <w:t>sebesar</w:t>
      </w:r>
      <w:proofErr w:type="spellEnd"/>
      <w:r>
        <w:t xml:space="preserve"> 0.949. Hal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keragaman</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perusahaan</w:t>
      </w:r>
      <w:proofErr w:type="spellEnd"/>
      <w:r>
        <w:t xml:space="preserve"> </w:t>
      </w:r>
      <w:proofErr w:type="spellStart"/>
      <w:r>
        <w:t>mampu</w:t>
      </w:r>
      <w:proofErr w:type="spellEnd"/>
      <w:r>
        <w:t xml:space="preserve"> </w:t>
      </w:r>
      <w:proofErr w:type="spellStart"/>
      <w:r>
        <w:t>direpresentasikan</w:t>
      </w:r>
      <w:proofErr w:type="spellEnd"/>
      <w:r>
        <w:t xml:space="preserve"> dan </w:t>
      </w:r>
      <w:proofErr w:type="spellStart"/>
      <w:r>
        <w:t>diukur</w:t>
      </w:r>
      <w:proofErr w:type="spellEnd"/>
      <w:r>
        <w:t xml:space="preserve"> oleh </w:t>
      </w:r>
      <w:proofErr w:type="spellStart"/>
      <w:r>
        <w:t>dimensi</w:t>
      </w:r>
      <w:proofErr w:type="spellEnd"/>
      <w:r>
        <w:t xml:space="preserve"> comparability </w:t>
      </w:r>
      <w:proofErr w:type="spellStart"/>
      <w:r>
        <w:t>sebesar</w:t>
      </w:r>
      <w:proofErr w:type="spellEnd"/>
      <w:r>
        <w:t xml:space="preserve"> 94.9%. </w:t>
      </w:r>
    </w:p>
    <w:p w14:paraId="53ACAF8A" w14:textId="50874087" w:rsidR="00416F39" w:rsidRDefault="005F1A32" w:rsidP="005F1A32">
      <w:pPr>
        <w:ind w:left="284" w:right="222" w:firstLine="436"/>
        <w:jc w:val="both"/>
      </w:pPr>
      <w:r>
        <w:t xml:space="preserve">Model </w:t>
      </w:r>
      <w:proofErr w:type="spellStart"/>
      <w:r>
        <w:t>pengukuran</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pengungkapan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perusahaan</w:t>
      </w:r>
      <w:proofErr w:type="spellEnd"/>
      <w:r>
        <w:t xml:space="preserve"> juga </w:t>
      </w:r>
      <w:proofErr w:type="spellStart"/>
      <w:r>
        <w:t>menginformasikan</w:t>
      </w:r>
      <w:proofErr w:type="spellEnd"/>
      <w:r>
        <w:t xml:space="preserve"> </w:t>
      </w:r>
      <w:proofErr w:type="spellStart"/>
      <w:r>
        <w:t>bahwa</w:t>
      </w:r>
      <w:proofErr w:type="spellEnd"/>
      <w:r>
        <w:t xml:space="preserve"> </w:t>
      </w:r>
      <w:proofErr w:type="spellStart"/>
      <w:r>
        <w:t>dimensi</w:t>
      </w:r>
      <w:proofErr w:type="spellEnd"/>
      <w:r>
        <w:t xml:space="preserve"> comparability </w:t>
      </w:r>
      <w:proofErr w:type="spellStart"/>
      <w:r>
        <w:t>memiliki</w:t>
      </w:r>
      <w:proofErr w:type="spellEnd"/>
      <w:r>
        <w:t xml:space="preserve"> </w:t>
      </w:r>
      <w:proofErr w:type="spellStart"/>
      <w:r>
        <w:t>nilai</w:t>
      </w:r>
      <w:proofErr w:type="spellEnd"/>
      <w:r>
        <w:t xml:space="preserve"> loading factor yang paling </w:t>
      </w:r>
      <w:proofErr w:type="spellStart"/>
      <w:r>
        <w:t>besar</w:t>
      </w:r>
      <w:proofErr w:type="spellEnd"/>
      <w:r>
        <w:t xml:space="preserve"> </w:t>
      </w:r>
      <w:proofErr w:type="spellStart"/>
      <w:r>
        <w:t>yaitu</w:t>
      </w:r>
      <w:proofErr w:type="spellEnd"/>
      <w:r>
        <w:t xml:space="preserve"> </w:t>
      </w:r>
      <w:proofErr w:type="spellStart"/>
      <w:r>
        <w:t>sebesar</w:t>
      </w:r>
      <w:proofErr w:type="spellEnd"/>
      <w:r>
        <w:t xml:space="preserve"> 0.949. Hal </w:t>
      </w:r>
      <w:proofErr w:type="spellStart"/>
      <w:r>
        <w:t>ini</w:t>
      </w:r>
      <w:proofErr w:type="spellEnd"/>
      <w:r>
        <w:t xml:space="preserve"> </w:t>
      </w:r>
      <w:proofErr w:type="spellStart"/>
      <w:r>
        <w:t>berarti</w:t>
      </w:r>
      <w:proofErr w:type="spellEnd"/>
      <w:r>
        <w:t xml:space="preserve"> </w:t>
      </w:r>
      <w:proofErr w:type="spellStart"/>
      <w:r>
        <w:t>bawah</w:t>
      </w:r>
      <w:proofErr w:type="spellEnd"/>
      <w:r>
        <w:t xml:space="preserve"> </w:t>
      </w:r>
      <w:proofErr w:type="spellStart"/>
      <w:r>
        <w:t>dimensi</w:t>
      </w:r>
      <w:proofErr w:type="spellEnd"/>
      <w:r>
        <w:t xml:space="preserve"> comparability </w:t>
      </w:r>
      <w:proofErr w:type="spellStart"/>
      <w:r>
        <w:t>merupakan</w:t>
      </w:r>
      <w:proofErr w:type="spellEnd"/>
      <w:r>
        <w:t xml:space="preserve"> </w:t>
      </w:r>
      <w:proofErr w:type="spellStart"/>
      <w:r>
        <w:t>indikator</w:t>
      </w:r>
      <w:proofErr w:type="spellEnd"/>
      <w:r>
        <w:t xml:space="preserve"> yang </w:t>
      </w:r>
      <w:proofErr w:type="spellStart"/>
      <w:r>
        <w:t>aling</w:t>
      </w:r>
      <w:proofErr w:type="spellEnd"/>
      <w:r>
        <w:t xml:space="preserve"> </w:t>
      </w:r>
      <w:proofErr w:type="spellStart"/>
      <w:r>
        <w:t>dominan</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variabel</w:t>
      </w:r>
      <w:proofErr w:type="spellEnd"/>
      <w:r>
        <w:t xml:space="preserve"> </w:t>
      </w:r>
      <w:proofErr w:type="spellStart"/>
      <w:r>
        <w:t>kualitas</w:t>
      </w:r>
      <w:proofErr w:type="spellEnd"/>
      <w:r>
        <w:t xml:space="preserve"> </w:t>
      </w:r>
      <w:proofErr w:type="spellStart"/>
      <w:r>
        <w:t>pengukuran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w:t>
      </w:r>
      <w:proofErr w:type="spellStart"/>
      <w:r>
        <w:t>perusahaan</w:t>
      </w:r>
      <w:proofErr w:type="spellEnd"/>
      <w:r>
        <w:t>.</w:t>
      </w:r>
    </w:p>
    <w:p w14:paraId="08D2AC35" w14:textId="77777777" w:rsidR="00F5689B" w:rsidRDefault="00BE2028" w:rsidP="00F5689B">
      <w:pPr>
        <w:ind w:left="284" w:right="222" w:firstLine="436"/>
        <w:jc w:val="both"/>
      </w:pPr>
      <w:r w:rsidRPr="00702151">
        <w:t xml:space="preserve">Hasil </w:t>
      </w:r>
      <w:proofErr w:type="spellStart"/>
      <w:r w:rsidRPr="00702151">
        <w:t>pengujian</w:t>
      </w:r>
      <w:proofErr w:type="spellEnd"/>
      <w:r w:rsidRPr="00702151">
        <w:t xml:space="preserve"> </w:t>
      </w:r>
      <w:proofErr w:type="spellStart"/>
      <w:r w:rsidRPr="00702151">
        <w:t>hipotesis</w:t>
      </w:r>
      <w:proofErr w:type="spellEnd"/>
      <w:r w:rsidRPr="00702151">
        <w:t xml:space="preserve"> </w:t>
      </w:r>
      <w:proofErr w:type="spellStart"/>
      <w:r w:rsidRPr="00702151">
        <w:t>menggunakan</w:t>
      </w:r>
      <w:proofErr w:type="spellEnd"/>
      <w:r w:rsidRPr="00702151">
        <w:t xml:space="preserve"> PLS </w:t>
      </w:r>
      <w:proofErr w:type="spellStart"/>
      <w:r w:rsidRPr="00702151">
        <w:t>menunjukkan</w:t>
      </w:r>
      <w:proofErr w:type="spellEnd"/>
      <w:r w:rsidRPr="00702151">
        <w:t xml:space="preserve"> </w:t>
      </w:r>
      <w:proofErr w:type="spellStart"/>
      <w:r w:rsidRPr="00702151">
        <w:t>bahwa</w:t>
      </w:r>
      <w:proofErr w:type="spellEnd"/>
      <w:r w:rsidRPr="00702151">
        <w:t xml:space="preserve"> </w:t>
      </w:r>
      <w:proofErr w:type="spellStart"/>
      <w:r w:rsidRPr="00702151">
        <w:t>nilai</w:t>
      </w:r>
      <w:proofErr w:type="spellEnd"/>
      <w:r w:rsidRPr="00702151">
        <w:t xml:space="preserve"> T Statistic </w:t>
      </w:r>
      <w:proofErr w:type="spellStart"/>
      <w:r w:rsidRPr="00702151">
        <w:t>dari</w:t>
      </w:r>
      <w:proofErr w:type="spellEnd"/>
      <w:r w:rsidRPr="00702151">
        <w:t xml:space="preserve"> </w:t>
      </w:r>
      <w:proofErr w:type="spellStart"/>
      <w:r w:rsidRPr="00702151">
        <w:t>pengaruh</w:t>
      </w:r>
      <w:proofErr w:type="spellEnd"/>
      <w:r w:rsidRPr="00702151">
        <w:t xml:space="preserve"> </w:t>
      </w:r>
      <w:proofErr w:type="spellStart"/>
      <w:r w:rsidRPr="00702151">
        <w:t>reputasi</w:t>
      </w:r>
      <w:proofErr w:type="spellEnd"/>
      <w:r w:rsidRPr="00702151">
        <w:t xml:space="preserve"> </w:t>
      </w:r>
      <w:proofErr w:type="spellStart"/>
      <w:r w:rsidRPr="00702151">
        <w:t>perusahaan</w:t>
      </w:r>
      <w:proofErr w:type="spellEnd"/>
      <w:r w:rsidRPr="00702151">
        <w:t xml:space="preserve"> </w:t>
      </w:r>
      <w:proofErr w:type="spellStart"/>
      <w:r w:rsidRPr="00702151">
        <w:t>terhadap</w:t>
      </w:r>
      <w:proofErr w:type="spellEnd"/>
      <w:r w:rsidRPr="00702151">
        <w:t xml:space="preserve"> </w:t>
      </w:r>
      <w:proofErr w:type="spellStart"/>
      <w:r w:rsidRPr="00702151">
        <w:t>kualitas</w:t>
      </w:r>
      <w:proofErr w:type="spellEnd"/>
      <w:r w:rsidRPr="00702151">
        <w:t xml:space="preserve"> </w:t>
      </w:r>
      <w:proofErr w:type="spellStart"/>
      <w:r w:rsidRPr="00702151">
        <w:t>pengungkapan</w:t>
      </w:r>
      <w:proofErr w:type="spellEnd"/>
      <w:r w:rsidRPr="00702151">
        <w:t xml:space="preserve"> </w:t>
      </w:r>
      <w:proofErr w:type="spellStart"/>
      <w:r w:rsidRPr="00702151">
        <w:t>tanggung</w:t>
      </w:r>
      <w:proofErr w:type="spellEnd"/>
      <w:r w:rsidRPr="00702151">
        <w:t xml:space="preserve"> </w:t>
      </w:r>
      <w:proofErr w:type="spellStart"/>
      <w:r w:rsidRPr="00702151">
        <w:t>jawab</w:t>
      </w:r>
      <w:proofErr w:type="spellEnd"/>
      <w:r w:rsidRPr="00702151">
        <w:t xml:space="preserve"> </w:t>
      </w:r>
      <w:proofErr w:type="spellStart"/>
      <w:r w:rsidRPr="00702151">
        <w:t>sosial</w:t>
      </w:r>
      <w:proofErr w:type="spellEnd"/>
      <w:r w:rsidRPr="00702151">
        <w:t xml:space="preserve"> </w:t>
      </w:r>
      <w:proofErr w:type="spellStart"/>
      <w:r w:rsidRPr="00702151">
        <w:t>sebesar</w:t>
      </w:r>
      <w:proofErr w:type="spellEnd"/>
      <w:r w:rsidRPr="00702151">
        <w:t xml:space="preserve"> 0.470. Hal </w:t>
      </w:r>
      <w:proofErr w:type="spellStart"/>
      <w:r w:rsidRPr="00702151">
        <w:t>ini</w:t>
      </w:r>
      <w:proofErr w:type="spellEnd"/>
      <w:r w:rsidRPr="00702151">
        <w:t xml:space="preserve"> </w:t>
      </w:r>
      <w:proofErr w:type="spellStart"/>
      <w:r w:rsidRPr="00702151">
        <w:t>menunjukkan</w:t>
      </w:r>
      <w:proofErr w:type="spellEnd"/>
      <w:r w:rsidRPr="00702151">
        <w:t xml:space="preserve"> </w:t>
      </w:r>
      <w:proofErr w:type="spellStart"/>
      <w:r w:rsidRPr="00702151">
        <w:t>bahwa</w:t>
      </w:r>
      <w:proofErr w:type="spellEnd"/>
      <w:r w:rsidRPr="00702151">
        <w:t xml:space="preserve"> </w:t>
      </w:r>
      <w:proofErr w:type="spellStart"/>
      <w:r w:rsidRPr="00702151">
        <w:t>reputasi</w:t>
      </w:r>
      <w:proofErr w:type="spellEnd"/>
      <w:r w:rsidRPr="00702151">
        <w:t xml:space="preserve"> </w:t>
      </w:r>
      <w:proofErr w:type="spellStart"/>
      <w:r w:rsidRPr="00702151">
        <w:t>perusahaan</w:t>
      </w:r>
      <w:proofErr w:type="spellEnd"/>
      <w:r w:rsidRPr="00702151">
        <w:t xml:space="preserve"> </w:t>
      </w:r>
      <w:proofErr w:type="spellStart"/>
      <w:r w:rsidRPr="00702151">
        <w:t>memiliki</w:t>
      </w:r>
      <w:proofErr w:type="spellEnd"/>
      <w:r w:rsidRPr="00702151">
        <w:t xml:space="preserve"> </w:t>
      </w:r>
      <w:proofErr w:type="spellStart"/>
      <w:r w:rsidRPr="00702151">
        <w:t>pengaruh</w:t>
      </w:r>
      <w:proofErr w:type="spellEnd"/>
      <w:r w:rsidRPr="00702151">
        <w:t xml:space="preserve"> yang </w:t>
      </w:r>
      <w:proofErr w:type="spellStart"/>
      <w:r w:rsidRPr="00702151">
        <w:t>tidak</w:t>
      </w:r>
      <w:proofErr w:type="spellEnd"/>
      <w:r w:rsidRPr="00702151">
        <w:t xml:space="preserve"> </w:t>
      </w:r>
      <w:proofErr w:type="spellStart"/>
      <w:r w:rsidRPr="00702151">
        <w:t>signifikan</w:t>
      </w:r>
      <w:proofErr w:type="spellEnd"/>
      <w:r w:rsidRPr="00702151">
        <w:t xml:space="preserve"> </w:t>
      </w:r>
      <w:proofErr w:type="spellStart"/>
      <w:r w:rsidRPr="00702151">
        <w:t>terhadap</w:t>
      </w:r>
      <w:proofErr w:type="spellEnd"/>
      <w:r w:rsidRPr="00702151">
        <w:t xml:space="preserve"> </w:t>
      </w:r>
      <w:proofErr w:type="spellStart"/>
      <w:r w:rsidRPr="00702151">
        <w:t>kualitas</w:t>
      </w:r>
      <w:proofErr w:type="spellEnd"/>
      <w:r w:rsidRPr="00702151">
        <w:t xml:space="preserve"> </w:t>
      </w:r>
      <w:proofErr w:type="spellStart"/>
      <w:r w:rsidRPr="00702151">
        <w:t>pengungkapan</w:t>
      </w:r>
      <w:proofErr w:type="spellEnd"/>
      <w:r w:rsidRPr="00702151">
        <w:t xml:space="preserve"> </w:t>
      </w:r>
      <w:proofErr w:type="spellStart"/>
      <w:r w:rsidRPr="00702151">
        <w:t>tanggung</w:t>
      </w:r>
      <w:proofErr w:type="spellEnd"/>
      <w:r w:rsidRPr="00702151">
        <w:t xml:space="preserve"> </w:t>
      </w:r>
      <w:proofErr w:type="spellStart"/>
      <w:r w:rsidRPr="00702151">
        <w:t>jawab</w:t>
      </w:r>
      <w:proofErr w:type="spellEnd"/>
      <w:r w:rsidRPr="00702151">
        <w:t xml:space="preserve"> </w:t>
      </w:r>
      <w:proofErr w:type="spellStart"/>
      <w:r w:rsidRPr="00702151">
        <w:t>sosial</w:t>
      </w:r>
      <w:proofErr w:type="spellEnd"/>
      <w:r w:rsidRPr="00702151">
        <w:t xml:space="preserve">. </w:t>
      </w:r>
      <w:proofErr w:type="spellStart"/>
      <w:r w:rsidR="008474F1">
        <w:t>Berdasarkan</w:t>
      </w:r>
      <w:proofErr w:type="spellEnd"/>
      <w:r w:rsidR="008474F1">
        <w:t xml:space="preserve"> pada </w:t>
      </w:r>
      <w:proofErr w:type="spellStart"/>
      <w:r w:rsidR="008474F1">
        <w:t>n</w:t>
      </w:r>
      <w:r w:rsidRPr="00702151">
        <w:t>ilai</w:t>
      </w:r>
      <w:proofErr w:type="spellEnd"/>
      <w:r w:rsidRPr="00702151">
        <w:t xml:space="preserve"> Path Coefficient </w:t>
      </w:r>
      <w:proofErr w:type="spellStart"/>
      <w:r w:rsidR="00702151" w:rsidRPr="00702151">
        <w:t>dari</w:t>
      </w:r>
      <w:proofErr w:type="spellEnd"/>
      <w:r w:rsidR="00702151" w:rsidRPr="00702151">
        <w:t xml:space="preserve"> </w:t>
      </w:r>
      <w:proofErr w:type="spellStart"/>
      <w:r w:rsidR="00702151" w:rsidRPr="00702151">
        <w:t>pengaruh</w:t>
      </w:r>
      <w:proofErr w:type="spellEnd"/>
      <w:r w:rsidR="00702151" w:rsidRPr="00702151">
        <w:t xml:space="preserve"> </w:t>
      </w:r>
      <w:proofErr w:type="spellStart"/>
      <w:r w:rsidR="00702151" w:rsidRPr="00702151">
        <w:t>langsung</w:t>
      </w:r>
      <w:proofErr w:type="spellEnd"/>
      <w:r w:rsidR="00702151" w:rsidRPr="00702151">
        <w:t xml:space="preserve"> </w:t>
      </w:r>
      <w:proofErr w:type="spellStart"/>
      <w:r w:rsidR="00702151" w:rsidRPr="00702151">
        <w:t>antara</w:t>
      </w:r>
      <w:proofErr w:type="spellEnd"/>
      <w:r w:rsidR="00702151" w:rsidRPr="00702151">
        <w:t xml:space="preserve"> </w:t>
      </w:r>
      <w:proofErr w:type="spellStart"/>
      <w:r w:rsidR="00702151" w:rsidRPr="00702151">
        <w:t>reputasi</w:t>
      </w:r>
      <w:proofErr w:type="spellEnd"/>
      <w:r w:rsidR="00702151" w:rsidRPr="00702151">
        <w:t xml:space="preserve"> </w:t>
      </w:r>
      <w:proofErr w:type="spellStart"/>
      <w:r w:rsidR="00702151" w:rsidRPr="00702151">
        <w:t>perusahaan</w:t>
      </w:r>
      <w:proofErr w:type="spellEnd"/>
      <w:r w:rsidR="00702151" w:rsidRPr="00702151">
        <w:t xml:space="preserve"> </w:t>
      </w:r>
      <w:proofErr w:type="spellStart"/>
      <w:r w:rsidR="00702151" w:rsidRPr="00702151">
        <w:t>dengan</w:t>
      </w:r>
      <w:proofErr w:type="spellEnd"/>
      <w:r w:rsidR="00702151" w:rsidRPr="00702151">
        <w:t xml:space="preserve"> </w:t>
      </w:r>
      <w:proofErr w:type="spellStart"/>
      <w:r w:rsidR="00702151" w:rsidRPr="00702151">
        <w:t>kualitas</w:t>
      </w:r>
      <w:proofErr w:type="spellEnd"/>
      <w:r w:rsidR="00702151" w:rsidRPr="00702151">
        <w:t xml:space="preserve"> CSRD </w:t>
      </w:r>
      <w:proofErr w:type="spellStart"/>
      <w:r w:rsidR="00702151" w:rsidRPr="00702151">
        <w:t>sebesar</w:t>
      </w:r>
      <w:proofErr w:type="spellEnd"/>
      <w:r w:rsidR="00702151" w:rsidRPr="00702151">
        <w:t xml:space="preserve"> -0.043 </w:t>
      </w:r>
      <w:proofErr w:type="spellStart"/>
      <w:r w:rsidR="00702151" w:rsidRPr="00702151">
        <w:t>menunjukkan</w:t>
      </w:r>
      <w:proofErr w:type="spellEnd"/>
      <w:r w:rsidR="00702151" w:rsidRPr="00702151">
        <w:t xml:space="preserve"> </w:t>
      </w:r>
      <w:proofErr w:type="spellStart"/>
      <w:r w:rsidR="00702151" w:rsidRPr="00702151">
        <w:t>bahwa</w:t>
      </w:r>
      <w:proofErr w:type="spellEnd"/>
      <w:r w:rsidR="00702151" w:rsidRPr="00702151">
        <w:t xml:space="preserve"> </w:t>
      </w:r>
      <w:proofErr w:type="spellStart"/>
      <w:r w:rsidR="00702151" w:rsidRPr="00702151">
        <w:t>reputasi</w:t>
      </w:r>
      <w:proofErr w:type="spellEnd"/>
      <w:r w:rsidR="00702151" w:rsidRPr="00702151">
        <w:t xml:space="preserve"> </w:t>
      </w:r>
      <w:proofErr w:type="spellStart"/>
      <w:r w:rsidR="00702151" w:rsidRPr="00702151">
        <w:t>berpengaruh</w:t>
      </w:r>
      <w:proofErr w:type="spellEnd"/>
      <w:r w:rsidR="00702151" w:rsidRPr="00702151">
        <w:t xml:space="preserve"> </w:t>
      </w:r>
      <w:proofErr w:type="spellStart"/>
      <w:r w:rsidR="00702151" w:rsidRPr="00702151">
        <w:t>negatif</w:t>
      </w:r>
      <w:proofErr w:type="spellEnd"/>
      <w:r w:rsidR="00702151" w:rsidRPr="00702151">
        <w:t xml:space="preserve"> dan </w:t>
      </w:r>
      <w:proofErr w:type="spellStart"/>
      <w:r w:rsidR="00702151" w:rsidRPr="00702151">
        <w:t>tidak</w:t>
      </w:r>
      <w:proofErr w:type="spellEnd"/>
      <w:r w:rsidR="00702151" w:rsidRPr="00702151">
        <w:t xml:space="preserve"> </w:t>
      </w:r>
      <w:proofErr w:type="spellStart"/>
      <w:r w:rsidR="00702151" w:rsidRPr="00702151">
        <w:t>signifikan</w:t>
      </w:r>
      <w:proofErr w:type="spellEnd"/>
      <w:r w:rsidR="00702151" w:rsidRPr="00702151">
        <w:t xml:space="preserve"> </w:t>
      </w:r>
      <w:proofErr w:type="spellStart"/>
      <w:r w:rsidR="00702151" w:rsidRPr="00702151">
        <w:t>terhadap</w:t>
      </w:r>
      <w:proofErr w:type="spellEnd"/>
      <w:r w:rsidR="00702151" w:rsidRPr="00702151">
        <w:t xml:space="preserve"> </w:t>
      </w:r>
      <w:proofErr w:type="spellStart"/>
      <w:r w:rsidR="00702151" w:rsidRPr="00702151">
        <w:t>kualitas</w:t>
      </w:r>
      <w:proofErr w:type="spellEnd"/>
      <w:r w:rsidR="00702151" w:rsidRPr="00702151">
        <w:t xml:space="preserve"> CSRD. Hal </w:t>
      </w:r>
      <w:proofErr w:type="spellStart"/>
      <w:r w:rsidR="00702151" w:rsidRPr="00702151">
        <w:t>ini</w:t>
      </w:r>
      <w:proofErr w:type="spellEnd"/>
      <w:r w:rsidR="00702151" w:rsidRPr="00702151">
        <w:t xml:space="preserve"> </w:t>
      </w:r>
      <w:proofErr w:type="spellStart"/>
      <w:r w:rsidR="00702151" w:rsidRPr="00702151">
        <w:t>berarti</w:t>
      </w:r>
      <w:proofErr w:type="spellEnd"/>
      <w:r w:rsidR="00702151" w:rsidRPr="00702151">
        <w:t xml:space="preserve"> </w:t>
      </w:r>
      <w:proofErr w:type="spellStart"/>
      <w:r w:rsidR="00702151" w:rsidRPr="00702151">
        <w:t>semakin</w:t>
      </w:r>
      <w:proofErr w:type="spellEnd"/>
      <w:r w:rsidR="00702151" w:rsidRPr="00702151">
        <w:t xml:space="preserve"> </w:t>
      </w:r>
      <w:proofErr w:type="spellStart"/>
      <w:r w:rsidR="00702151" w:rsidRPr="00702151">
        <w:t>tinggi</w:t>
      </w:r>
      <w:proofErr w:type="spellEnd"/>
      <w:r w:rsidR="00702151" w:rsidRPr="00702151">
        <w:t xml:space="preserve"> </w:t>
      </w:r>
      <w:proofErr w:type="spellStart"/>
      <w:r w:rsidR="00702151" w:rsidRPr="00702151">
        <w:t>reputasi</w:t>
      </w:r>
      <w:proofErr w:type="spellEnd"/>
      <w:r w:rsidR="00702151" w:rsidRPr="00702151">
        <w:t xml:space="preserve"> </w:t>
      </w:r>
      <w:proofErr w:type="spellStart"/>
      <w:r w:rsidR="00702151" w:rsidRPr="00702151">
        <w:t>perusahaan</w:t>
      </w:r>
      <w:proofErr w:type="spellEnd"/>
      <w:r w:rsidR="00702151" w:rsidRPr="00702151">
        <w:t xml:space="preserve"> </w:t>
      </w:r>
      <w:proofErr w:type="spellStart"/>
      <w:r w:rsidR="00702151" w:rsidRPr="00702151">
        <w:t>maka</w:t>
      </w:r>
      <w:proofErr w:type="spellEnd"/>
      <w:r w:rsidR="00702151" w:rsidRPr="00702151">
        <w:t xml:space="preserve"> </w:t>
      </w:r>
      <w:proofErr w:type="spellStart"/>
      <w:r w:rsidR="00702151" w:rsidRPr="00702151">
        <w:t>cenderung</w:t>
      </w:r>
      <w:proofErr w:type="spellEnd"/>
      <w:r w:rsidR="00702151" w:rsidRPr="00702151">
        <w:t xml:space="preserve"> </w:t>
      </w:r>
      <w:proofErr w:type="spellStart"/>
      <w:r w:rsidR="00702151" w:rsidRPr="00702151">
        <w:t>dapat</w:t>
      </w:r>
      <w:proofErr w:type="spellEnd"/>
      <w:r w:rsidR="00702151" w:rsidRPr="00702151">
        <w:t xml:space="preserve"> </w:t>
      </w:r>
      <w:proofErr w:type="spellStart"/>
      <w:r w:rsidR="00702151" w:rsidRPr="00702151">
        <w:t>menurunkan</w:t>
      </w:r>
      <w:proofErr w:type="spellEnd"/>
      <w:r w:rsidR="00702151" w:rsidRPr="00702151">
        <w:t xml:space="preserve"> </w:t>
      </w:r>
      <w:proofErr w:type="spellStart"/>
      <w:r w:rsidR="00702151" w:rsidRPr="00702151">
        <w:t>kualitas</w:t>
      </w:r>
      <w:proofErr w:type="spellEnd"/>
      <w:r w:rsidR="00702151" w:rsidRPr="00702151">
        <w:t xml:space="preserve"> CSRD,</w:t>
      </w:r>
      <w:r w:rsidR="00702151">
        <w:t xml:space="preserve"> </w:t>
      </w:r>
      <w:proofErr w:type="spellStart"/>
      <w:r w:rsidR="00702151" w:rsidRPr="00702151">
        <w:t>namun</w:t>
      </w:r>
      <w:proofErr w:type="spellEnd"/>
      <w:r w:rsidR="00702151" w:rsidRPr="00702151">
        <w:t xml:space="preserve"> </w:t>
      </w:r>
      <w:proofErr w:type="spellStart"/>
      <w:r w:rsidR="00702151" w:rsidRPr="00702151">
        <w:t>penurunan</w:t>
      </w:r>
      <w:proofErr w:type="spellEnd"/>
      <w:r w:rsidR="00702151" w:rsidRPr="00702151">
        <w:t xml:space="preserve"> </w:t>
      </w:r>
      <w:proofErr w:type="spellStart"/>
      <w:r w:rsidR="00702151" w:rsidRPr="00702151">
        <w:t>tersebut</w:t>
      </w:r>
      <w:proofErr w:type="spellEnd"/>
      <w:r w:rsidR="00702151" w:rsidRPr="00702151">
        <w:t xml:space="preserve"> </w:t>
      </w:r>
      <w:proofErr w:type="spellStart"/>
      <w:r w:rsidR="00702151" w:rsidRPr="00702151">
        <w:t>tidak</w:t>
      </w:r>
      <w:proofErr w:type="spellEnd"/>
      <w:r w:rsidR="00702151" w:rsidRPr="00702151">
        <w:t xml:space="preserve"> </w:t>
      </w:r>
      <w:proofErr w:type="spellStart"/>
      <w:r w:rsidR="00702151" w:rsidRPr="00702151">
        <w:t>signifikan</w:t>
      </w:r>
      <w:proofErr w:type="spellEnd"/>
      <w:r w:rsidR="00702151" w:rsidRPr="00702151">
        <w:t>.</w:t>
      </w:r>
    </w:p>
    <w:p w14:paraId="53A07ADD" w14:textId="59289C0F" w:rsidR="00F5689B" w:rsidRDefault="00F5689B" w:rsidP="00F5689B">
      <w:pPr>
        <w:ind w:left="284" w:right="222" w:firstLine="436"/>
        <w:jc w:val="both"/>
      </w:pPr>
      <w:proofErr w:type="spellStart"/>
      <w:r>
        <w:t>Menjadi</w:t>
      </w:r>
      <w:proofErr w:type="spellEnd"/>
      <w:r>
        <w:t xml:space="preserve"> </w:t>
      </w:r>
      <w:proofErr w:type="spellStart"/>
      <w:r>
        <w:t>hal</w:t>
      </w:r>
      <w:proofErr w:type="spellEnd"/>
      <w:r>
        <w:t xml:space="preserve"> </w:t>
      </w:r>
      <w:proofErr w:type="spellStart"/>
      <w:r>
        <w:t>perlu</w:t>
      </w:r>
      <w:proofErr w:type="spellEnd"/>
      <w:r>
        <w:t xml:space="preserve"> </w:t>
      </w:r>
      <w:proofErr w:type="spellStart"/>
      <w:r>
        <w:t>ditinjau</w:t>
      </w:r>
      <w:proofErr w:type="spellEnd"/>
      <w:r>
        <w:t xml:space="preserve"> </w:t>
      </w:r>
      <w:proofErr w:type="spellStart"/>
      <w:r>
        <w:t>lebih</w:t>
      </w:r>
      <w:proofErr w:type="spellEnd"/>
      <w:r>
        <w:t xml:space="preserve"> </w:t>
      </w:r>
      <w:proofErr w:type="spellStart"/>
      <w:r>
        <w:t>jauh</w:t>
      </w:r>
      <w:proofErr w:type="spellEnd"/>
      <w:r>
        <w:t xml:space="preserve"> </w:t>
      </w:r>
      <w:proofErr w:type="spellStart"/>
      <w:r>
        <w:t>mengenai</w:t>
      </w:r>
      <w:proofErr w:type="spellEnd"/>
      <w:r>
        <w:t xml:space="preserve"> </w:t>
      </w:r>
      <w:proofErr w:type="spellStart"/>
      <w:r>
        <w:t>hasil</w:t>
      </w:r>
      <w:proofErr w:type="spellEnd"/>
      <w:r>
        <w:t xml:space="preserve"> </w:t>
      </w:r>
      <w:proofErr w:type="spellStart"/>
      <w:r>
        <w:t>peneltian</w:t>
      </w:r>
      <w:proofErr w:type="spellEnd"/>
      <w:r>
        <w:t xml:space="preserve"> </w:t>
      </w:r>
      <w:proofErr w:type="spellStart"/>
      <w:r>
        <w:t>ini</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dimaknai</w:t>
      </w:r>
      <w:proofErr w:type="spellEnd"/>
      <w:r>
        <w:t xml:space="preserve"> </w:t>
      </w:r>
      <w:proofErr w:type="spellStart"/>
      <w:r>
        <w:t>bahwa</w:t>
      </w:r>
      <w:proofErr w:type="spellEnd"/>
      <w:r>
        <w:t xml:space="preserve"> </w:t>
      </w:r>
      <w:proofErr w:type="spellStart"/>
      <w:r>
        <w:t>memang</w:t>
      </w:r>
      <w:proofErr w:type="spellEnd"/>
      <w:r>
        <w:t xml:space="preserve"> salah </w:t>
      </w:r>
      <w:proofErr w:type="spellStart"/>
      <w:r>
        <w:t>satu</w:t>
      </w:r>
      <w:proofErr w:type="spellEnd"/>
      <w:r>
        <w:t xml:space="preserve"> </w:t>
      </w:r>
      <w:proofErr w:type="spellStart"/>
      <w:r>
        <w:t>fakt</w:t>
      </w:r>
      <w:r w:rsidR="00BC730B">
        <w:t>o</w:t>
      </w:r>
      <w:r>
        <w:t>r</w:t>
      </w:r>
      <w:proofErr w:type="spellEnd"/>
      <w:r>
        <w:t xml:space="preserve"> </w:t>
      </w:r>
      <w:proofErr w:type="spellStart"/>
      <w:r>
        <w:t>terbentuknya</w:t>
      </w:r>
      <w:proofErr w:type="spellEnd"/>
      <w:r>
        <w:t xml:space="preserve"> </w:t>
      </w:r>
      <w:proofErr w:type="spellStart"/>
      <w:r>
        <w:t>reputasi</w:t>
      </w:r>
      <w:proofErr w:type="spellEnd"/>
      <w:r>
        <w:t xml:space="preserve"> </w:t>
      </w:r>
      <w:proofErr w:type="spellStart"/>
      <w:r>
        <w:t>adalah</w:t>
      </w:r>
      <w:proofErr w:type="spellEnd"/>
      <w:r>
        <w:t xml:space="preserve"> </w:t>
      </w:r>
      <w:proofErr w:type="spellStart"/>
      <w:r>
        <w:t>melakukan</w:t>
      </w:r>
      <w:proofErr w:type="spellEnd"/>
      <w:r>
        <w:t xml:space="preserve"> </w:t>
      </w:r>
      <w:proofErr w:type="spellStart"/>
      <w:r>
        <w:t>aktivitas</w:t>
      </w:r>
      <w:proofErr w:type="spellEnd"/>
      <w:r>
        <w:t xml:space="preserve"> CSR </w:t>
      </w:r>
      <w:proofErr w:type="spellStart"/>
      <w:r>
        <w:t>namun</w:t>
      </w:r>
      <w:proofErr w:type="spellEnd"/>
      <w:r>
        <w:t xml:space="preserve"> </w:t>
      </w:r>
      <w:proofErr w:type="spellStart"/>
      <w:r>
        <w:t>pengungka</w:t>
      </w:r>
      <w:r w:rsidR="00AB5E21">
        <w:t>p</w:t>
      </w:r>
      <w:r>
        <w:t>an</w:t>
      </w:r>
      <w:proofErr w:type="spellEnd"/>
      <w:r>
        <w:t xml:space="preserve"> </w:t>
      </w:r>
      <w:proofErr w:type="spellStart"/>
      <w:r>
        <w:t>dari</w:t>
      </w:r>
      <w:proofErr w:type="spellEnd"/>
      <w:r>
        <w:t xml:space="preserve"> </w:t>
      </w:r>
      <w:proofErr w:type="spellStart"/>
      <w:r>
        <w:t>aktivitas</w:t>
      </w:r>
      <w:proofErr w:type="spellEnd"/>
      <w:r>
        <w:t xml:space="preserve"> yang </w:t>
      </w:r>
      <w:proofErr w:type="spellStart"/>
      <w:r>
        <w:t>telah</w:t>
      </w:r>
      <w:proofErr w:type="spellEnd"/>
      <w:r>
        <w:t xml:space="preserve"> </w:t>
      </w:r>
      <w:proofErr w:type="spellStart"/>
      <w:r>
        <w:t>dilakukan</w:t>
      </w:r>
      <w:proofErr w:type="spellEnd"/>
      <w:r>
        <w:t xml:space="preserve"> oleh </w:t>
      </w:r>
      <w:proofErr w:type="spellStart"/>
      <w:r>
        <w:t>perusahaan</w:t>
      </w:r>
      <w:proofErr w:type="spellEnd"/>
      <w:r>
        <w:t xml:space="preserve"> </w:t>
      </w:r>
      <w:proofErr w:type="spellStart"/>
      <w:r>
        <w:t>sebatas</w:t>
      </w:r>
      <w:proofErr w:type="spellEnd"/>
      <w:r>
        <w:t xml:space="preserve"> “</w:t>
      </w:r>
      <w:proofErr w:type="spellStart"/>
      <w:r>
        <w:t>ada</w:t>
      </w:r>
      <w:proofErr w:type="spellEnd"/>
      <w:r>
        <w:t xml:space="preserve"> dan </w:t>
      </w:r>
      <w:proofErr w:type="spellStart"/>
      <w:r>
        <w:t>tidak</w:t>
      </w:r>
      <w:proofErr w:type="spellEnd"/>
      <w:r>
        <w:t xml:space="preserve"> </w:t>
      </w:r>
      <w:proofErr w:type="spellStart"/>
      <w:r>
        <w:t>ada</w:t>
      </w:r>
      <w:proofErr w:type="spellEnd"/>
      <w:r>
        <w:t xml:space="preserve">”. Para </w:t>
      </w:r>
      <w:proofErr w:type="spellStart"/>
      <w:r>
        <w:t>penyedia</w:t>
      </w:r>
      <w:proofErr w:type="spellEnd"/>
      <w:r>
        <w:t xml:space="preserve"> </w:t>
      </w:r>
      <w:proofErr w:type="spellStart"/>
      <w:r>
        <w:t>informasi</w:t>
      </w:r>
      <w:proofErr w:type="spellEnd"/>
      <w:r>
        <w:t xml:space="preserve"> </w:t>
      </w:r>
      <w:proofErr w:type="spellStart"/>
      <w:r>
        <w:t>aktivitas</w:t>
      </w:r>
      <w:proofErr w:type="spellEnd"/>
      <w:r>
        <w:t xml:space="preserve"> </w:t>
      </w:r>
      <w:proofErr w:type="spellStart"/>
      <w:r>
        <w:t>sosial</w:t>
      </w:r>
      <w:proofErr w:type="spellEnd"/>
      <w:r>
        <w:t xml:space="preserve"> dan </w:t>
      </w:r>
      <w:proofErr w:type="spellStart"/>
      <w:r>
        <w:t>lingkungan</w:t>
      </w:r>
      <w:proofErr w:type="spellEnd"/>
      <w:r>
        <w:t xml:space="preserve"> </w:t>
      </w:r>
      <w:proofErr w:type="spellStart"/>
      <w:r>
        <w:t>khususnya</w:t>
      </w:r>
      <w:proofErr w:type="spellEnd"/>
      <w:r>
        <w:t xml:space="preserve"> pada </w:t>
      </w:r>
      <w:proofErr w:type="spellStart"/>
      <w:r>
        <w:t>perusahaan-perusahaan</w:t>
      </w:r>
      <w:proofErr w:type="spellEnd"/>
      <w:r>
        <w:t xml:space="preserve"> </w:t>
      </w:r>
      <w:proofErr w:type="spellStart"/>
      <w:r>
        <w:t>dengan</w:t>
      </w:r>
      <w:proofErr w:type="spellEnd"/>
      <w:r>
        <w:t xml:space="preserve"> </w:t>
      </w:r>
      <w:proofErr w:type="spellStart"/>
      <w:r>
        <w:t>reputasi</w:t>
      </w:r>
      <w:proofErr w:type="spellEnd"/>
      <w:r>
        <w:t xml:space="preserve"> yang </w:t>
      </w:r>
      <w:proofErr w:type="spellStart"/>
      <w:r>
        <w:t>baik</w:t>
      </w:r>
      <w:proofErr w:type="spellEnd"/>
      <w:r>
        <w:t xml:space="preserve"> </w:t>
      </w:r>
      <w:proofErr w:type="spellStart"/>
      <w:r>
        <w:t>cenderung</w:t>
      </w:r>
      <w:proofErr w:type="spellEnd"/>
      <w:r>
        <w:t xml:space="preserve"> </w:t>
      </w:r>
      <w:proofErr w:type="spellStart"/>
      <w:r>
        <w:t>mengungkapkan</w:t>
      </w:r>
      <w:proofErr w:type="spellEnd"/>
      <w:r>
        <w:t xml:space="preserve"> </w:t>
      </w:r>
      <w:proofErr w:type="spellStart"/>
      <w:r>
        <w:t>informasi</w:t>
      </w:r>
      <w:proofErr w:type="spellEnd"/>
      <w:r>
        <w:t xml:space="preserve"> </w:t>
      </w:r>
      <w:proofErr w:type="spellStart"/>
      <w:r>
        <w:t>aktivitas</w:t>
      </w:r>
      <w:proofErr w:type="spellEnd"/>
      <w:r>
        <w:t xml:space="preserve"> </w:t>
      </w:r>
      <w:proofErr w:type="spellStart"/>
      <w:r>
        <w:t>CSRnya</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t>formalitas</w:t>
      </w:r>
      <w:proofErr w:type="spellEnd"/>
      <w:r>
        <w:t xml:space="preserve"> </w:t>
      </w:r>
      <w:proofErr w:type="spellStart"/>
      <w:r w:rsidR="00BC730B">
        <w:t>atau</w:t>
      </w:r>
      <w:proofErr w:type="spellEnd"/>
      <w:r w:rsidR="00BC730B">
        <w:t xml:space="preserve"> </w:t>
      </w:r>
      <w:proofErr w:type="spellStart"/>
      <w:r w:rsidR="00BC730B">
        <w:t>simbolis</w:t>
      </w:r>
      <w:proofErr w:type="spellEnd"/>
      <w:r w:rsidR="00BC730B">
        <w:t xml:space="preserve"> </w:t>
      </w:r>
      <w:proofErr w:type="spellStart"/>
      <w:r>
        <w:t>saja</w:t>
      </w:r>
      <w:proofErr w:type="spellEnd"/>
      <w:r w:rsidR="00BC730B">
        <w:t xml:space="preserve"> </w:t>
      </w:r>
      <w:r w:rsidR="00BC730B">
        <w:fldChar w:fldCharType="begin" w:fldLock="1"/>
      </w:r>
      <w:r w:rsidR="00BC730B">
        <w:instrText>ADDIN CSL_CITATION {"citationItems":[{"id":"ITEM-1","itemData":{"DOI":"10.21002/jaki.2016.02","ISSN":"18298494","abstract":"This research is aimed to test empirically the influence of three Corporate Social Responsibility reporting (CSR) practices on the quality of CSR disclosure. Specifically, the research is conducted to determine whether the practices are substantive in nature, which is to improve the quality of disclosure as media of accountability to stakeholders; or simply symbolic to establish a company’s positive image. The three practices are the use of standalone CSR reports, Global Reporting Initiative (GRI) frameworks, and external assurance services for CSR reports. This study uses a sample of 50 non-financial companies with large market capitalization listed in Indonesia Stock Exchange in 2011-2013. The results show that the use of standalone CSR reports negatively affects the quality of CSR disclosure, which is interpreted as a reflection of the symbolic approach in its preparation. Meanwhile, the use of external assurance services and the adoption of GRI has a positive influence. However, after several sensitivity tests, the results were mixed, and overall showed that GRI adoption did not improve the quality of disclosure. Thus, the research findings indicate that the use of external assurance services increases the quality of disclosure but there are still a lot of symbolic information in CSR disclosure in Indonesia, even though the company has already followed the GRI reporting framework.  ---  Tujuan dari penelitian ini adalah untuk menguji secara empiris pengaruh ketiga praktik pelaporan CSR (Corporate Social Responsibility) terhadap kualitas pengungkapan CSR. Secara spesifik, penelitian dilakukan untuk mengetahui apakah ketiga praktik pelaporan CSR bersifat substantif, yaitu meningkatkan kualitas pengungkapan sebagai media akuntabilitas kepada pemangku kepentingan, atau hanya bersifat simbolis untuk membentuk citra positif perusahaan. Ketiga praktik tersebut adalah penggunaan laporan CSR yang berdiri sendiri, kerangka pelaporan GRI (Global Reporting Initiative), dan jasa asurans eksternal atas laporan CSR. Penelitian ini menggunakan sampel sebanyak 50 perusahaan terbuka non-keuangan yang memiliki nilai kapitalisasi pasar di atas rata-rata seluruh perusahaan yang tercatat di Bursa Efek Indonesia pada tahun 2011-2013. Hasil penelitian menunjukkan bahwa penggunaan laporan CSR yang berdiri sendiri berpengaruh negatif terhadap kualitas pengungkapan CSR, yang diinterpretasikan sebagai cerminan pendekatan simbolis dalam penyusunannya. Sementara itu, penggunaan …","author":[{"dropping-particle":"","family":"Nasution","given":"Ryan Muhammad","non-dropping-particle":"","parse-names":false,"suffix":""},{"dropping-particle":"","family":"Adhariani","given":"Desi","non-dropping-particle":"","parse-names":false,"suffix":""}],"container-title":"Jurnal Akuntansi dan Keuangan Indonesia","id":"ITEM-1","issue":"1","issued":{"date-parts":[["2016","6","30"]]},"page":"23-51","title":"SIMBOLIS ATAU SUBSTANTIF? ANALISIS PRAKTIK PELAPORAN CSR DAN KUALITAS PENGUNGKAPAN","type":"article-journal","volume":"13"},"uris":["http://www.mendeley.com/documents/?uuid=2960ac05-4402-3ef1-9fb0-3b4b352a64b3"]}],"mendeley":{"formattedCitation":"(Nasution &amp; Adhariani, 2016)","plainTextFormattedCitation":"(Nasution &amp; Adhariani, 2016)","previouslyFormattedCitation":"(Nasution &amp; Adhariani, 2016)"},"properties":{"noteIndex":0},"schema":"https://github.com/citation-style-language/schema/raw/master/csl-citation.json"}</w:instrText>
      </w:r>
      <w:r w:rsidR="00BC730B">
        <w:fldChar w:fldCharType="separate"/>
      </w:r>
      <w:r w:rsidR="00BC730B" w:rsidRPr="00BC730B">
        <w:rPr>
          <w:noProof/>
        </w:rPr>
        <w:t>(Nasution &amp; Adhariani, 2016)</w:t>
      </w:r>
      <w:r w:rsidR="00BC730B">
        <w:fldChar w:fldCharType="end"/>
      </w:r>
      <w:r>
        <w:t>.</w:t>
      </w:r>
    </w:p>
    <w:p w14:paraId="15F38FBC" w14:textId="77777777" w:rsidR="00F5689B" w:rsidRDefault="00F5689B" w:rsidP="00F5689B">
      <w:pPr>
        <w:ind w:left="284" w:right="222" w:firstLine="436"/>
        <w:jc w:val="both"/>
      </w:pPr>
      <w:r w:rsidRPr="00DF4E76">
        <w:rPr>
          <w:rFonts w:cs="Arial"/>
          <w:color w:val="000000" w:themeColor="text1"/>
        </w:rPr>
        <w:t xml:space="preserve">Garis </w:t>
      </w:r>
      <w:proofErr w:type="spellStart"/>
      <w:r w:rsidRPr="00DF4E76">
        <w:rPr>
          <w:rFonts w:cs="Arial"/>
          <w:color w:val="000000" w:themeColor="text1"/>
        </w:rPr>
        <w:t>hubungan</w:t>
      </w:r>
      <w:proofErr w:type="spellEnd"/>
      <w:r w:rsidRPr="00DF4E76">
        <w:rPr>
          <w:rFonts w:cs="Arial"/>
          <w:color w:val="000000" w:themeColor="text1"/>
        </w:rPr>
        <w:t xml:space="preserve"> yang </w:t>
      </w:r>
      <w:proofErr w:type="spellStart"/>
      <w:r w:rsidRPr="00DF4E76">
        <w:rPr>
          <w:rFonts w:cs="Arial"/>
          <w:color w:val="000000" w:themeColor="text1"/>
        </w:rPr>
        <w:t>ditarik</w:t>
      </w:r>
      <w:proofErr w:type="spellEnd"/>
      <w:r w:rsidRPr="00DF4E76">
        <w:rPr>
          <w:rFonts w:cs="Arial"/>
          <w:color w:val="000000" w:themeColor="text1"/>
        </w:rPr>
        <w:t xml:space="preserve"> </w:t>
      </w:r>
      <w:proofErr w:type="spellStart"/>
      <w:r w:rsidRPr="00DF4E76">
        <w:rPr>
          <w:rFonts w:cs="Arial"/>
          <w:color w:val="000000" w:themeColor="text1"/>
        </w:rPr>
        <w:t>dari</w:t>
      </w:r>
      <w:proofErr w:type="spellEnd"/>
      <w:r w:rsidRPr="00DF4E76">
        <w:rPr>
          <w:rFonts w:cs="Arial"/>
          <w:color w:val="000000" w:themeColor="text1"/>
        </w:rPr>
        <w:t xml:space="preserve"> </w:t>
      </w:r>
      <w:proofErr w:type="spellStart"/>
      <w:r w:rsidRPr="00DF4E76">
        <w:rPr>
          <w:rFonts w:cs="Arial"/>
          <w:color w:val="000000" w:themeColor="text1"/>
        </w:rPr>
        <w:t>reputasi</w:t>
      </w:r>
      <w:proofErr w:type="spellEnd"/>
      <w:r w:rsidRPr="00DF4E76">
        <w:rPr>
          <w:rFonts w:cs="Arial"/>
          <w:color w:val="000000" w:themeColor="text1"/>
        </w:rPr>
        <w:t xml:space="preserve"> </w:t>
      </w:r>
      <w:proofErr w:type="spellStart"/>
      <w:r w:rsidRPr="00DF4E76">
        <w:rPr>
          <w:rFonts w:cs="Arial"/>
          <w:color w:val="000000" w:themeColor="text1"/>
        </w:rPr>
        <w:t>terhadap</w:t>
      </w:r>
      <w:proofErr w:type="spellEnd"/>
      <w:r w:rsidRPr="00DF4E76">
        <w:rPr>
          <w:rFonts w:cs="Arial"/>
          <w:color w:val="000000" w:themeColor="text1"/>
        </w:rPr>
        <w:t xml:space="preserve"> </w:t>
      </w:r>
      <w:proofErr w:type="spellStart"/>
      <w:r w:rsidRPr="00DF4E76">
        <w:rPr>
          <w:rFonts w:cs="Arial"/>
          <w:color w:val="000000" w:themeColor="text1"/>
        </w:rPr>
        <w:t>kualitas</w:t>
      </w:r>
      <w:proofErr w:type="spellEnd"/>
      <w:r w:rsidRPr="00DF4E76">
        <w:rPr>
          <w:rFonts w:cs="Arial"/>
          <w:color w:val="000000" w:themeColor="text1"/>
        </w:rPr>
        <w:t xml:space="preserve"> CSRD </w:t>
      </w:r>
      <w:proofErr w:type="spellStart"/>
      <w:r w:rsidRPr="00DF4E76">
        <w:rPr>
          <w:rFonts w:cs="Arial"/>
          <w:color w:val="000000" w:themeColor="text1"/>
        </w:rPr>
        <w:t>inilah</w:t>
      </w:r>
      <w:proofErr w:type="spellEnd"/>
      <w:r w:rsidRPr="00DF4E76">
        <w:rPr>
          <w:rFonts w:cs="Arial"/>
          <w:color w:val="000000" w:themeColor="text1"/>
        </w:rPr>
        <w:t xml:space="preserve"> yang </w:t>
      </w:r>
      <w:proofErr w:type="spellStart"/>
      <w:r w:rsidRPr="00DF4E76">
        <w:rPr>
          <w:rFonts w:cs="Arial"/>
          <w:color w:val="000000" w:themeColor="text1"/>
        </w:rPr>
        <w:t>menjadi</w:t>
      </w:r>
      <w:proofErr w:type="spellEnd"/>
      <w:r w:rsidRPr="00DF4E76">
        <w:rPr>
          <w:rFonts w:cs="Arial"/>
          <w:color w:val="000000" w:themeColor="text1"/>
        </w:rPr>
        <w:t xml:space="preserve"> </w:t>
      </w:r>
      <w:proofErr w:type="spellStart"/>
      <w:r w:rsidRPr="00DF4E76">
        <w:rPr>
          <w:rFonts w:cs="Arial"/>
          <w:color w:val="000000" w:themeColor="text1"/>
        </w:rPr>
        <w:t>keterbaruan</w:t>
      </w:r>
      <w:proofErr w:type="spellEnd"/>
      <w:r w:rsidRPr="00DF4E76">
        <w:rPr>
          <w:rFonts w:cs="Arial"/>
          <w:color w:val="000000" w:themeColor="text1"/>
        </w:rPr>
        <w:t xml:space="preserve"> </w:t>
      </w:r>
      <w:proofErr w:type="spellStart"/>
      <w:r w:rsidRPr="00DF4E76">
        <w:rPr>
          <w:rFonts w:cs="Arial"/>
          <w:color w:val="000000" w:themeColor="text1"/>
        </w:rPr>
        <w:t>dari</w:t>
      </w:r>
      <w:proofErr w:type="spellEnd"/>
      <w:r w:rsidRPr="00DF4E76">
        <w:rPr>
          <w:rFonts w:cs="Arial"/>
          <w:color w:val="000000" w:themeColor="text1"/>
        </w:rPr>
        <w:t xml:space="preserve"> </w:t>
      </w:r>
      <w:proofErr w:type="spellStart"/>
      <w:r w:rsidRPr="00DF4E76">
        <w:rPr>
          <w:rFonts w:cs="Arial"/>
          <w:color w:val="000000" w:themeColor="text1"/>
        </w:rPr>
        <w:t>penelitian</w:t>
      </w:r>
      <w:proofErr w:type="spellEnd"/>
      <w:r w:rsidRPr="00DF4E76">
        <w:rPr>
          <w:rFonts w:cs="Arial"/>
          <w:color w:val="000000" w:themeColor="text1"/>
        </w:rPr>
        <w:t xml:space="preserve"> </w:t>
      </w:r>
      <w:proofErr w:type="spellStart"/>
      <w:r w:rsidRPr="00DF4E76">
        <w:rPr>
          <w:rFonts w:cs="Arial"/>
          <w:color w:val="000000" w:themeColor="text1"/>
        </w:rPr>
        <w:t>ini</w:t>
      </w:r>
      <w:proofErr w:type="spellEnd"/>
      <w:r w:rsidRPr="00DF4E76">
        <w:rPr>
          <w:rFonts w:cs="Arial"/>
          <w:color w:val="000000" w:themeColor="text1"/>
        </w:rPr>
        <w:t xml:space="preserve">. Hasil </w:t>
      </w:r>
      <w:proofErr w:type="spellStart"/>
      <w:r w:rsidRPr="00DF4E76">
        <w:rPr>
          <w:rFonts w:cs="Arial"/>
          <w:color w:val="000000" w:themeColor="text1"/>
        </w:rPr>
        <w:t>dari</w:t>
      </w:r>
      <w:proofErr w:type="spellEnd"/>
      <w:r w:rsidRPr="00DF4E76">
        <w:rPr>
          <w:rFonts w:cs="Arial"/>
          <w:color w:val="000000" w:themeColor="text1"/>
        </w:rPr>
        <w:t xml:space="preserve"> </w:t>
      </w:r>
      <w:proofErr w:type="spellStart"/>
      <w:r w:rsidRPr="00DF4E76">
        <w:rPr>
          <w:rFonts w:cs="Arial"/>
          <w:color w:val="000000" w:themeColor="text1"/>
        </w:rPr>
        <w:t>penelitian</w:t>
      </w:r>
      <w:proofErr w:type="spellEnd"/>
      <w:r w:rsidRPr="00DF4E76">
        <w:rPr>
          <w:rFonts w:cs="Arial"/>
          <w:color w:val="000000" w:themeColor="text1"/>
        </w:rPr>
        <w:t xml:space="preserve"> pada garis </w:t>
      </w:r>
      <w:proofErr w:type="spellStart"/>
      <w:r w:rsidRPr="00DF4E76">
        <w:rPr>
          <w:rFonts w:cs="Arial"/>
          <w:color w:val="000000" w:themeColor="text1"/>
        </w:rPr>
        <w:t>hubungan</w:t>
      </w:r>
      <w:proofErr w:type="spellEnd"/>
      <w:r w:rsidRPr="00DF4E76">
        <w:rPr>
          <w:rFonts w:cs="Arial"/>
          <w:color w:val="000000" w:themeColor="text1"/>
        </w:rPr>
        <w:t xml:space="preserve"> </w:t>
      </w:r>
      <w:proofErr w:type="spellStart"/>
      <w:r w:rsidRPr="00DF4E76">
        <w:rPr>
          <w:rFonts w:cs="Arial"/>
          <w:color w:val="000000" w:themeColor="text1"/>
        </w:rPr>
        <w:t>ini</w:t>
      </w:r>
      <w:proofErr w:type="spellEnd"/>
      <w:r w:rsidRPr="00DF4E76">
        <w:rPr>
          <w:rFonts w:cs="Arial"/>
          <w:color w:val="000000" w:themeColor="text1"/>
        </w:rPr>
        <w:t xml:space="preserve"> </w:t>
      </w:r>
      <w:proofErr w:type="spellStart"/>
      <w:r w:rsidRPr="00DF4E76">
        <w:rPr>
          <w:rFonts w:cs="Arial"/>
          <w:color w:val="000000" w:themeColor="text1"/>
        </w:rPr>
        <w:t>menunjukkan</w:t>
      </w:r>
      <w:proofErr w:type="spellEnd"/>
      <w:r w:rsidRPr="00DF4E76">
        <w:rPr>
          <w:rFonts w:cs="Arial"/>
          <w:color w:val="000000" w:themeColor="text1"/>
        </w:rPr>
        <w:t xml:space="preserve"> </w:t>
      </w:r>
      <w:proofErr w:type="spellStart"/>
      <w:r w:rsidRPr="00DF4E76">
        <w:rPr>
          <w:rFonts w:cs="Arial"/>
          <w:color w:val="000000" w:themeColor="text1"/>
        </w:rPr>
        <w:t>hubungan</w:t>
      </w:r>
      <w:proofErr w:type="spellEnd"/>
      <w:r w:rsidRPr="00DF4E76">
        <w:rPr>
          <w:rFonts w:cs="Arial"/>
          <w:color w:val="000000" w:themeColor="text1"/>
        </w:rPr>
        <w:t xml:space="preserve"> yang </w:t>
      </w:r>
      <w:proofErr w:type="spellStart"/>
      <w:r w:rsidRPr="00DF4E76">
        <w:rPr>
          <w:rFonts w:cs="Arial"/>
          <w:color w:val="000000" w:themeColor="text1"/>
        </w:rPr>
        <w:t>positif</w:t>
      </w:r>
      <w:proofErr w:type="spellEnd"/>
      <w:r w:rsidRPr="00DF4E76">
        <w:rPr>
          <w:rFonts w:cs="Arial"/>
          <w:color w:val="000000" w:themeColor="text1"/>
        </w:rPr>
        <w:t xml:space="preserve"> </w:t>
      </w:r>
      <w:proofErr w:type="spellStart"/>
      <w:r w:rsidRPr="00DF4E76">
        <w:rPr>
          <w:rFonts w:cs="Arial"/>
          <w:color w:val="000000" w:themeColor="text1"/>
        </w:rPr>
        <w:t>namun</w:t>
      </w:r>
      <w:proofErr w:type="spellEnd"/>
      <w:r w:rsidRPr="00DF4E76">
        <w:rPr>
          <w:rFonts w:cs="Arial"/>
          <w:color w:val="000000" w:themeColor="text1"/>
        </w:rPr>
        <w:t xml:space="preserve"> </w:t>
      </w:r>
      <w:proofErr w:type="spellStart"/>
      <w:r w:rsidRPr="00DF4E76">
        <w:rPr>
          <w:rFonts w:cs="Arial"/>
          <w:color w:val="000000" w:themeColor="text1"/>
        </w:rPr>
        <w:t>tidak</w:t>
      </w:r>
      <w:proofErr w:type="spellEnd"/>
      <w:r w:rsidRPr="00DF4E76">
        <w:rPr>
          <w:rFonts w:cs="Arial"/>
          <w:color w:val="000000" w:themeColor="text1"/>
        </w:rPr>
        <w:t xml:space="preserve"> </w:t>
      </w:r>
      <w:proofErr w:type="spellStart"/>
      <w:r w:rsidRPr="00DF4E76">
        <w:rPr>
          <w:rFonts w:cs="Arial"/>
          <w:color w:val="000000" w:themeColor="text1"/>
        </w:rPr>
        <w:t>signifikan</w:t>
      </w:r>
      <w:proofErr w:type="spellEnd"/>
      <w:r w:rsidRPr="00DF4E76">
        <w:rPr>
          <w:rFonts w:cs="Arial"/>
          <w:color w:val="000000" w:themeColor="text1"/>
        </w:rPr>
        <w:t xml:space="preserve">. </w:t>
      </w:r>
      <w:proofErr w:type="spellStart"/>
      <w:r w:rsidRPr="00DF4E76">
        <w:rPr>
          <w:rFonts w:cs="Arial"/>
          <w:color w:val="000000" w:themeColor="text1"/>
        </w:rPr>
        <w:t>Keraguan</w:t>
      </w:r>
      <w:proofErr w:type="spellEnd"/>
      <w:r w:rsidRPr="00DF4E76">
        <w:rPr>
          <w:rFonts w:cs="Arial"/>
          <w:color w:val="000000" w:themeColor="text1"/>
        </w:rPr>
        <w:t xml:space="preserve"> yang </w:t>
      </w:r>
      <w:proofErr w:type="spellStart"/>
      <w:r w:rsidRPr="00DF4E76">
        <w:rPr>
          <w:rFonts w:cs="Arial"/>
          <w:color w:val="000000" w:themeColor="text1"/>
        </w:rPr>
        <w:t>terjadi</w:t>
      </w:r>
      <w:proofErr w:type="spellEnd"/>
      <w:r w:rsidRPr="00DF4E76">
        <w:rPr>
          <w:rFonts w:cs="Arial"/>
          <w:color w:val="000000" w:themeColor="text1"/>
        </w:rPr>
        <w:t xml:space="preserve"> </w:t>
      </w:r>
      <w:proofErr w:type="spellStart"/>
      <w:r w:rsidRPr="00DF4E76">
        <w:rPr>
          <w:rFonts w:cs="Arial"/>
          <w:color w:val="000000" w:themeColor="text1"/>
        </w:rPr>
        <w:t>antara</w:t>
      </w:r>
      <w:proofErr w:type="spellEnd"/>
      <w:r w:rsidRPr="00DF4E76">
        <w:rPr>
          <w:rFonts w:cs="Arial"/>
          <w:color w:val="000000" w:themeColor="text1"/>
        </w:rPr>
        <w:t xml:space="preserve"> </w:t>
      </w:r>
      <w:proofErr w:type="spellStart"/>
      <w:r w:rsidRPr="00DF4E76">
        <w:rPr>
          <w:rFonts w:cs="Arial"/>
          <w:color w:val="000000" w:themeColor="text1"/>
        </w:rPr>
        <w:t>pihak</w:t>
      </w:r>
      <w:proofErr w:type="spellEnd"/>
      <w:r w:rsidRPr="00DF4E76">
        <w:rPr>
          <w:rFonts w:cs="Arial"/>
          <w:color w:val="000000" w:themeColor="text1"/>
        </w:rPr>
        <w:t xml:space="preserve"> </w:t>
      </w:r>
      <w:proofErr w:type="spellStart"/>
      <w:r w:rsidRPr="00DF4E76">
        <w:rPr>
          <w:rFonts w:cs="Arial"/>
          <w:color w:val="000000" w:themeColor="text1"/>
        </w:rPr>
        <w:t>penyedia</w:t>
      </w:r>
      <w:proofErr w:type="spellEnd"/>
      <w:r w:rsidRPr="00DF4E76">
        <w:rPr>
          <w:rFonts w:cs="Arial"/>
          <w:color w:val="000000" w:themeColor="text1"/>
        </w:rPr>
        <w:t xml:space="preserve"> </w:t>
      </w:r>
      <w:proofErr w:type="spellStart"/>
      <w:r w:rsidRPr="00DF4E76">
        <w:rPr>
          <w:rFonts w:cs="Arial"/>
          <w:color w:val="000000" w:themeColor="text1"/>
        </w:rPr>
        <w:t>mengenai</w:t>
      </w:r>
      <w:proofErr w:type="spellEnd"/>
      <w:r w:rsidRPr="00DF4E76">
        <w:rPr>
          <w:rFonts w:cs="Arial"/>
          <w:color w:val="000000" w:themeColor="text1"/>
        </w:rPr>
        <w:t xml:space="preserve"> </w:t>
      </w:r>
      <w:proofErr w:type="spellStart"/>
      <w:r w:rsidRPr="00DF4E76">
        <w:rPr>
          <w:rFonts w:cs="Arial"/>
          <w:color w:val="000000" w:themeColor="text1"/>
        </w:rPr>
        <w:t>pentingnya</w:t>
      </w:r>
      <w:proofErr w:type="spellEnd"/>
      <w:r w:rsidRPr="00DF4E76">
        <w:rPr>
          <w:rFonts w:cs="Arial"/>
          <w:color w:val="000000" w:themeColor="text1"/>
        </w:rPr>
        <w:t xml:space="preserve"> </w:t>
      </w:r>
      <w:proofErr w:type="spellStart"/>
      <w:r w:rsidRPr="00DF4E76">
        <w:rPr>
          <w:rFonts w:cs="Arial"/>
          <w:color w:val="000000" w:themeColor="text1"/>
        </w:rPr>
        <w:t>pengungkapan</w:t>
      </w:r>
      <w:proofErr w:type="spellEnd"/>
      <w:r w:rsidRPr="00DF4E76">
        <w:rPr>
          <w:rFonts w:cs="Arial"/>
          <w:color w:val="000000" w:themeColor="text1"/>
        </w:rPr>
        <w:t xml:space="preserve"> CSR yang </w:t>
      </w:r>
      <w:proofErr w:type="spellStart"/>
      <w:r w:rsidRPr="00DF4E76">
        <w:rPr>
          <w:rFonts w:cs="Arial"/>
          <w:color w:val="000000" w:themeColor="text1"/>
        </w:rPr>
        <w:t>berkualitas</w:t>
      </w:r>
      <w:proofErr w:type="spellEnd"/>
      <w:r w:rsidRPr="00DF4E76">
        <w:rPr>
          <w:rFonts w:cs="Arial"/>
          <w:color w:val="000000" w:themeColor="text1"/>
        </w:rPr>
        <w:t xml:space="preserve"> dan </w:t>
      </w:r>
      <w:proofErr w:type="spellStart"/>
      <w:r w:rsidRPr="00DF4E76">
        <w:rPr>
          <w:rFonts w:cs="Arial"/>
          <w:color w:val="000000" w:themeColor="text1"/>
        </w:rPr>
        <w:t>keraguan</w:t>
      </w:r>
      <w:proofErr w:type="spellEnd"/>
      <w:r w:rsidRPr="00DF4E76">
        <w:rPr>
          <w:rFonts w:cs="Arial"/>
          <w:color w:val="000000" w:themeColor="text1"/>
        </w:rPr>
        <w:t xml:space="preserve"> </w:t>
      </w:r>
      <w:proofErr w:type="spellStart"/>
      <w:r w:rsidRPr="00DF4E76">
        <w:rPr>
          <w:rFonts w:cs="Arial"/>
          <w:color w:val="000000" w:themeColor="text1"/>
        </w:rPr>
        <w:t>dari</w:t>
      </w:r>
      <w:proofErr w:type="spellEnd"/>
      <w:r w:rsidRPr="00DF4E76">
        <w:rPr>
          <w:rFonts w:cs="Arial"/>
          <w:color w:val="000000" w:themeColor="text1"/>
        </w:rPr>
        <w:t xml:space="preserve"> </w:t>
      </w:r>
      <w:proofErr w:type="spellStart"/>
      <w:r w:rsidRPr="00DF4E76">
        <w:rPr>
          <w:rFonts w:cs="Arial"/>
          <w:color w:val="000000" w:themeColor="text1"/>
        </w:rPr>
        <w:t>pihak</w:t>
      </w:r>
      <w:proofErr w:type="spellEnd"/>
      <w:r w:rsidRPr="00DF4E76">
        <w:rPr>
          <w:rFonts w:cs="Arial"/>
          <w:color w:val="000000" w:themeColor="text1"/>
        </w:rPr>
        <w:t xml:space="preserve"> </w:t>
      </w:r>
      <w:proofErr w:type="spellStart"/>
      <w:r w:rsidRPr="00DF4E76">
        <w:rPr>
          <w:rFonts w:cs="Arial"/>
          <w:color w:val="000000" w:themeColor="text1"/>
        </w:rPr>
        <w:t>pengguna</w:t>
      </w:r>
      <w:proofErr w:type="spellEnd"/>
      <w:r w:rsidRPr="00DF4E76">
        <w:rPr>
          <w:rFonts w:cs="Arial"/>
          <w:color w:val="000000" w:themeColor="text1"/>
        </w:rPr>
        <w:t xml:space="preserve"> </w:t>
      </w:r>
      <w:proofErr w:type="spellStart"/>
      <w:r w:rsidRPr="00DF4E76">
        <w:rPr>
          <w:rFonts w:cs="Arial"/>
          <w:color w:val="000000" w:themeColor="text1"/>
        </w:rPr>
        <w:t>mengenai</w:t>
      </w:r>
      <w:proofErr w:type="spellEnd"/>
      <w:r w:rsidRPr="00DF4E76">
        <w:rPr>
          <w:rFonts w:cs="Arial"/>
          <w:color w:val="000000" w:themeColor="text1"/>
        </w:rPr>
        <w:t xml:space="preserve"> </w:t>
      </w:r>
      <w:proofErr w:type="spellStart"/>
      <w:r w:rsidRPr="00DF4E76">
        <w:rPr>
          <w:rFonts w:cs="Arial"/>
          <w:color w:val="000000" w:themeColor="text1"/>
        </w:rPr>
        <w:t>kebenaran</w:t>
      </w:r>
      <w:proofErr w:type="spellEnd"/>
      <w:r w:rsidRPr="00DF4E76">
        <w:rPr>
          <w:rFonts w:cs="Arial"/>
          <w:color w:val="000000" w:themeColor="text1"/>
        </w:rPr>
        <w:t xml:space="preserve"> yang </w:t>
      </w:r>
      <w:proofErr w:type="spellStart"/>
      <w:r w:rsidRPr="00DF4E76">
        <w:rPr>
          <w:rFonts w:cs="Arial"/>
          <w:color w:val="000000" w:themeColor="text1"/>
        </w:rPr>
        <w:t>ada</w:t>
      </w:r>
      <w:proofErr w:type="spellEnd"/>
      <w:r w:rsidRPr="00DF4E76">
        <w:rPr>
          <w:rFonts w:cs="Arial"/>
          <w:color w:val="000000" w:themeColor="text1"/>
        </w:rPr>
        <w:t xml:space="preserve"> pada </w:t>
      </w:r>
      <w:proofErr w:type="spellStart"/>
      <w:r w:rsidRPr="00DF4E76">
        <w:rPr>
          <w:rFonts w:cs="Arial"/>
          <w:color w:val="000000" w:themeColor="text1"/>
        </w:rPr>
        <w:t>pengungkapan</w:t>
      </w:r>
      <w:proofErr w:type="spellEnd"/>
      <w:r w:rsidRPr="00DF4E76">
        <w:rPr>
          <w:rFonts w:cs="Arial"/>
          <w:color w:val="000000" w:themeColor="text1"/>
        </w:rPr>
        <w:t xml:space="preserve"> CSR </w:t>
      </w:r>
      <w:proofErr w:type="spellStart"/>
      <w:r w:rsidRPr="00DF4E76">
        <w:rPr>
          <w:rFonts w:cs="Arial"/>
          <w:color w:val="000000" w:themeColor="text1"/>
        </w:rPr>
        <w:t>menjadi</w:t>
      </w:r>
      <w:proofErr w:type="spellEnd"/>
      <w:r w:rsidRPr="00DF4E76">
        <w:rPr>
          <w:rFonts w:cs="Arial"/>
          <w:color w:val="000000" w:themeColor="text1"/>
        </w:rPr>
        <w:t xml:space="preserve"> </w:t>
      </w:r>
      <w:proofErr w:type="spellStart"/>
      <w:r w:rsidRPr="00DF4E76">
        <w:rPr>
          <w:rFonts w:cs="Arial"/>
          <w:color w:val="000000" w:themeColor="text1"/>
        </w:rPr>
        <w:t>asumsi</w:t>
      </w:r>
      <w:proofErr w:type="spellEnd"/>
      <w:r w:rsidRPr="00DF4E76">
        <w:rPr>
          <w:rFonts w:cs="Arial"/>
          <w:color w:val="000000" w:themeColor="text1"/>
        </w:rPr>
        <w:t xml:space="preserve"> yang </w:t>
      </w:r>
      <w:proofErr w:type="spellStart"/>
      <w:r w:rsidRPr="00DF4E76">
        <w:rPr>
          <w:rFonts w:cs="Arial"/>
          <w:color w:val="000000" w:themeColor="text1"/>
        </w:rPr>
        <w:t>terbentuk</w:t>
      </w:r>
      <w:proofErr w:type="spellEnd"/>
      <w:r w:rsidRPr="00DF4E76">
        <w:rPr>
          <w:rFonts w:cs="Arial"/>
          <w:color w:val="000000" w:themeColor="text1"/>
        </w:rPr>
        <w:t xml:space="preserve"> </w:t>
      </w:r>
      <w:proofErr w:type="spellStart"/>
      <w:r w:rsidRPr="00DF4E76">
        <w:rPr>
          <w:rFonts w:cs="Arial"/>
          <w:color w:val="000000" w:themeColor="text1"/>
        </w:rPr>
        <w:t>dari</w:t>
      </w:r>
      <w:proofErr w:type="spellEnd"/>
      <w:r w:rsidRPr="00DF4E76">
        <w:rPr>
          <w:rFonts w:cs="Arial"/>
          <w:color w:val="000000" w:themeColor="text1"/>
        </w:rPr>
        <w:t xml:space="preserve"> </w:t>
      </w:r>
      <w:proofErr w:type="spellStart"/>
      <w:r w:rsidRPr="00DF4E76">
        <w:rPr>
          <w:rFonts w:cs="Arial"/>
          <w:color w:val="000000" w:themeColor="text1"/>
        </w:rPr>
        <w:t>hasil</w:t>
      </w:r>
      <w:proofErr w:type="spellEnd"/>
      <w:r w:rsidRPr="00DF4E76">
        <w:rPr>
          <w:rFonts w:cs="Arial"/>
          <w:color w:val="000000" w:themeColor="text1"/>
        </w:rPr>
        <w:t xml:space="preserve"> </w:t>
      </w:r>
      <w:proofErr w:type="spellStart"/>
      <w:r w:rsidRPr="00DF4E76">
        <w:rPr>
          <w:rFonts w:cs="Arial"/>
          <w:color w:val="000000" w:themeColor="text1"/>
        </w:rPr>
        <w:t>penelitian</w:t>
      </w:r>
      <w:proofErr w:type="spellEnd"/>
      <w:r w:rsidRPr="00DF4E76">
        <w:rPr>
          <w:rFonts w:cs="Arial"/>
          <w:color w:val="000000" w:themeColor="text1"/>
        </w:rPr>
        <w:t xml:space="preserve"> garis </w:t>
      </w:r>
      <w:proofErr w:type="spellStart"/>
      <w:r w:rsidRPr="00DF4E76">
        <w:rPr>
          <w:rFonts w:cs="Arial"/>
          <w:color w:val="000000" w:themeColor="text1"/>
        </w:rPr>
        <w:t>hubungan</w:t>
      </w:r>
      <w:proofErr w:type="spellEnd"/>
      <w:r w:rsidRPr="00DF4E76">
        <w:rPr>
          <w:rFonts w:cs="Arial"/>
          <w:color w:val="000000" w:themeColor="text1"/>
        </w:rPr>
        <w:t xml:space="preserve"> </w:t>
      </w:r>
      <w:proofErr w:type="spellStart"/>
      <w:r w:rsidRPr="00DF4E76">
        <w:rPr>
          <w:rFonts w:cs="Arial"/>
          <w:color w:val="000000" w:themeColor="text1"/>
        </w:rPr>
        <w:t>ini</w:t>
      </w:r>
      <w:proofErr w:type="spellEnd"/>
      <w:r w:rsidRPr="00DF4E76">
        <w:rPr>
          <w:rFonts w:cs="Arial"/>
          <w:color w:val="000000" w:themeColor="text1"/>
        </w:rPr>
        <w:t>.</w:t>
      </w:r>
    </w:p>
    <w:p w14:paraId="1F4A64BE" w14:textId="77777777" w:rsidR="00F5689B" w:rsidRDefault="00F5689B" w:rsidP="00F5689B">
      <w:pPr>
        <w:ind w:left="284" w:right="222" w:firstLine="436"/>
        <w:jc w:val="both"/>
      </w:pPr>
      <w:r w:rsidRPr="00DF4E76">
        <w:rPr>
          <w:rFonts w:cs="Arial"/>
          <w:color w:val="000000" w:themeColor="text1"/>
        </w:rPr>
        <w:t xml:space="preserve">Hal yang juga </w:t>
      </w:r>
      <w:proofErr w:type="spellStart"/>
      <w:r w:rsidRPr="00DF4E76">
        <w:rPr>
          <w:rFonts w:cs="Arial"/>
          <w:color w:val="000000" w:themeColor="text1"/>
        </w:rPr>
        <w:t>ditemui</w:t>
      </w:r>
      <w:proofErr w:type="spellEnd"/>
      <w:r w:rsidRPr="00DF4E76">
        <w:rPr>
          <w:rFonts w:cs="Arial"/>
          <w:color w:val="000000" w:themeColor="text1"/>
        </w:rPr>
        <w:t xml:space="preserve"> </w:t>
      </w:r>
      <w:proofErr w:type="spellStart"/>
      <w:r w:rsidRPr="00DF4E76">
        <w:rPr>
          <w:rFonts w:cs="Arial"/>
          <w:color w:val="000000" w:themeColor="text1"/>
        </w:rPr>
        <w:t>dalam</w:t>
      </w:r>
      <w:proofErr w:type="spellEnd"/>
      <w:r w:rsidRPr="00DF4E76">
        <w:rPr>
          <w:rFonts w:cs="Arial"/>
          <w:color w:val="000000" w:themeColor="text1"/>
        </w:rPr>
        <w:t xml:space="preserve"> </w:t>
      </w:r>
      <w:proofErr w:type="spellStart"/>
      <w:r w:rsidRPr="00DF4E76">
        <w:rPr>
          <w:rFonts w:cs="Arial"/>
          <w:color w:val="000000" w:themeColor="text1"/>
        </w:rPr>
        <w:t>observasi</w:t>
      </w:r>
      <w:proofErr w:type="spellEnd"/>
      <w:r w:rsidRPr="00DF4E76">
        <w:rPr>
          <w:rFonts w:cs="Arial"/>
          <w:color w:val="000000" w:themeColor="text1"/>
        </w:rPr>
        <w:t xml:space="preserve"> </w:t>
      </w:r>
      <w:proofErr w:type="spellStart"/>
      <w:r w:rsidRPr="00DF4E76">
        <w:rPr>
          <w:rFonts w:cs="Arial"/>
          <w:color w:val="000000" w:themeColor="text1"/>
        </w:rPr>
        <w:t>penelitian</w:t>
      </w:r>
      <w:proofErr w:type="spellEnd"/>
      <w:r w:rsidRPr="00DF4E76">
        <w:rPr>
          <w:rFonts w:cs="Arial"/>
          <w:color w:val="000000" w:themeColor="text1"/>
        </w:rPr>
        <w:t xml:space="preserve"> </w:t>
      </w:r>
      <w:proofErr w:type="spellStart"/>
      <w:r w:rsidRPr="00DF4E76">
        <w:rPr>
          <w:rFonts w:cs="Arial"/>
          <w:color w:val="000000" w:themeColor="text1"/>
        </w:rPr>
        <w:t>ini</w:t>
      </w:r>
      <w:proofErr w:type="spellEnd"/>
      <w:r w:rsidRPr="00DF4E76">
        <w:rPr>
          <w:rFonts w:cs="Arial"/>
          <w:color w:val="000000" w:themeColor="text1"/>
        </w:rPr>
        <w:t xml:space="preserve"> </w:t>
      </w:r>
      <w:proofErr w:type="spellStart"/>
      <w:r w:rsidRPr="00DF4E76">
        <w:rPr>
          <w:rFonts w:cs="Arial"/>
          <w:color w:val="000000" w:themeColor="text1"/>
        </w:rPr>
        <w:t>adalah</w:t>
      </w:r>
      <w:proofErr w:type="spellEnd"/>
      <w:r w:rsidRPr="00DF4E76">
        <w:rPr>
          <w:rFonts w:cs="Arial"/>
          <w:color w:val="000000" w:themeColor="text1"/>
        </w:rPr>
        <w:t xml:space="preserve"> </w:t>
      </w:r>
      <w:proofErr w:type="spellStart"/>
      <w:r w:rsidRPr="00DF4E76">
        <w:rPr>
          <w:rFonts w:cs="Arial"/>
          <w:color w:val="000000" w:themeColor="text1"/>
        </w:rPr>
        <w:t>semakin</w:t>
      </w:r>
      <w:proofErr w:type="spellEnd"/>
      <w:r w:rsidRPr="00DF4E76">
        <w:rPr>
          <w:rFonts w:cs="Arial"/>
          <w:color w:val="000000" w:themeColor="text1"/>
        </w:rPr>
        <w:t xml:space="preserve"> </w:t>
      </w:r>
      <w:proofErr w:type="spellStart"/>
      <w:r w:rsidRPr="00DF4E76">
        <w:rPr>
          <w:rFonts w:cs="Arial"/>
          <w:color w:val="000000" w:themeColor="text1"/>
        </w:rPr>
        <w:t>banyaknya</w:t>
      </w:r>
      <w:proofErr w:type="spellEnd"/>
      <w:r w:rsidRPr="00DF4E76">
        <w:rPr>
          <w:rFonts w:cs="Arial"/>
          <w:color w:val="000000" w:themeColor="text1"/>
        </w:rPr>
        <w:t xml:space="preserve"> </w:t>
      </w:r>
      <w:proofErr w:type="spellStart"/>
      <w:r w:rsidRPr="00DF4E76">
        <w:rPr>
          <w:rFonts w:cs="Arial"/>
          <w:color w:val="000000" w:themeColor="text1"/>
        </w:rPr>
        <w:t>penggunaan</w:t>
      </w:r>
      <w:proofErr w:type="spellEnd"/>
      <w:r w:rsidRPr="00DF4E76">
        <w:rPr>
          <w:rFonts w:cs="Arial"/>
          <w:color w:val="000000" w:themeColor="text1"/>
        </w:rPr>
        <w:t xml:space="preserve"> </w:t>
      </w:r>
      <w:proofErr w:type="spellStart"/>
      <w:r w:rsidRPr="00DF4E76">
        <w:rPr>
          <w:rFonts w:cs="Arial"/>
          <w:color w:val="000000" w:themeColor="text1"/>
        </w:rPr>
        <w:t>iklan</w:t>
      </w:r>
      <w:proofErr w:type="spellEnd"/>
      <w:r w:rsidRPr="00DF4E76">
        <w:rPr>
          <w:rFonts w:cs="Arial"/>
          <w:color w:val="000000" w:themeColor="text1"/>
        </w:rPr>
        <w:t xml:space="preserve"> dan media </w:t>
      </w:r>
      <w:r w:rsidRPr="00DF4E76">
        <w:rPr>
          <w:rFonts w:cs="Arial"/>
          <w:i/>
          <w:color w:val="000000" w:themeColor="text1"/>
        </w:rPr>
        <w:t>offline</w:t>
      </w:r>
      <w:r w:rsidRPr="00DF4E76">
        <w:rPr>
          <w:rFonts w:cs="Arial"/>
          <w:color w:val="000000" w:themeColor="text1"/>
        </w:rPr>
        <w:t xml:space="preserve"> </w:t>
      </w:r>
      <w:proofErr w:type="spellStart"/>
      <w:r w:rsidRPr="00DF4E76">
        <w:rPr>
          <w:rFonts w:cs="Arial"/>
          <w:color w:val="000000" w:themeColor="text1"/>
        </w:rPr>
        <w:t>maupun</w:t>
      </w:r>
      <w:proofErr w:type="spellEnd"/>
      <w:r w:rsidRPr="00DF4E76">
        <w:rPr>
          <w:rFonts w:cs="Arial"/>
          <w:color w:val="000000" w:themeColor="text1"/>
        </w:rPr>
        <w:t xml:space="preserve"> </w:t>
      </w:r>
      <w:r w:rsidRPr="00DF4E76">
        <w:rPr>
          <w:rFonts w:cs="Arial"/>
          <w:i/>
          <w:color w:val="000000" w:themeColor="text1"/>
        </w:rPr>
        <w:t>online</w:t>
      </w:r>
      <w:r w:rsidRPr="00DF4E76">
        <w:rPr>
          <w:rFonts w:cs="Arial"/>
          <w:color w:val="000000" w:themeColor="text1"/>
        </w:rPr>
        <w:t xml:space="preserve"> yang </w:t>
      </w:r>
      <w:proofErr w:type="spellStart"/>
      <w:r w:rsidRPr="00DF4E76">
        <w:rPr>
          <w:rFonts w:cs="Arial"/>
          <w:color w:val="000000" w:themeColor="text1"/>
        </w:rPr>
        <w:t>dimanfaatkan</w:t>
      </w:r>
      <w:proofErr w:type="spellEnd"/>
      <w:r w:rsidRPr="00DF4E76">
        <w:rPr>
          <w:rFonts w:cs="Arial"/>
          <w:color w:val="000000" w:themeColor="text1"/>
        </w:rPr>
        <w:t xml:space="preserve"> oleh </w:t>
      </w:r>
      <w:proofErr w:type="spellStart"/>
      <w:r w:rsidRPr="00DF4E76">
        <w:rPr>
          <w:rFonts w:cs="Arial"/>
          <w:color w:val="000000" w:themeColor="text1"/>
        </w:rPr>
        <w:t>perusahaan</w:t>
      </w:r>
      <w:proofErr w:type="spellEnd"/>
      <w:r w:rsidRPr="00DF4E76">
        <w:rPr>
          <w:rFonts w:cs="Arial"/>
          <w:color w:val="000000" w:themeColor="text1"/>
        </w:rPr>
        <w:t xml:space="preserve"> dan </w:t>
      </w:r>
      <w:proofErr w:type="spellStart"/>
      <w:r w:rsidRPr="00DF4E76">
        <w:rPr>
          <w:rFonts w:cs="Arial"/>
          <w:color w:val="000000" w:themeColor="text1"/>
        </w:rPr>
        <w:t>lebih</w:t>
      </w:r>
      <w:proofErr w:type="spellEnd"/>
      <w:r w:rsidRPr="00DF4E76">
        <w:rPr>
          <w:rFonts w:cs="Arial"/>
          <w:color w:val="000000" w:themeColor="text1"/>
        </w:rPr>
        <w:t xml:space="preserve"> </w:t>
      </w:r>
      <w:proofErr w:type="spellStart"/>
      <w:r w:rsidRPr="00DF4E76">
        <w:rPr>
          <w:rFonts w:cs="Arial"/>
          <w:color w:val="000000" w:themeColor="text1"/>
        </w:rPr>
        <w:t>uniknya</w:t>
      </w:r>
      <w:proofErr w:type="spellEnd"/>
      <w:r w:rsidRPr="00DF4E76">
        <w:rPr>
          <w:rFonts w:cs="Arial"/>
          <w:color w:val="000000" w:themeColor="text1"/>
        </w:rPr>
        <w:t xml:space="preserve"> </w:t>
      </w:r>
      <w:proofErr w:type="spellStart"/>
      <w:r w:rsidRPr="00DF4E76">
        <w:rPr>
          <w:rFonts w:cs="Arial"/>
          <w:color w:val="000000" w:themeColor="text1"/>
        </w:rPr>
        <w:t>adalah</w:t>
      </w:r>
      <w:proofErr w:type="spellEnd"/>
      <w:r w:rsidRPr="00DF4E76">
        <w:rPr>
          <w:rFonts w:cs="Arial"/>
          <w:color w:val="000000" w:themeColor="text1"/>
        </w:rPr>
        <w:t xml:space="preserve"> </w:t>
      </w:r>
      <w:proofErr w:type="spellStart"/>
      <w:r w:rsidRPr="00DF4E76">
        <w:rPr>
          <w:rFonts w:cs="Arial"/>
          <w:color w:val="000000" w:themeColor="text1"/>
        </w:rPr>
        <w:t>pihak</w:t>
      </w:r>
      <w:proofErr w:type="spellEnd"/>
      <w:r w:rsidRPr="00DF4E76">
        <w:rPr>
          <w:rFonts w:cs="Arial"/>
          <w:color w:val="000000" w:themeColor="text1"/>
        </w:rPr>
        <w:t xml:space="preserve"> media yang juga </w:t>
      </w:r>
      <w:proofErr w:type="spellStart"/>
      <w:r w:rsidRPr="00DF4E76">
        <w:rPr>
          <w:rFonts w:cs="Arial"/>
          <w:color w:val="000000" w:themeColor="text1"/>
        </w:rPr>
        <w:t>mengejar</w:t>
      </w:r>
      <w:proofErr w:type="spellEnd"/>
      <w:r w:rsidRPr="00DF4E76">
        <w:rPr>
          <w:rFonts w:cs="Arial"/>
          <w:color w:val="000000" w:themeColor="text1"/>
        </w:rPr>
        <w:t xml:space="preserve"> </w:t>
      </w:r>
      <w:proofErr w:type="spellStart"/>
      <w:r w:rsidRPr="00DF4E76">
        <w:rPr>
          <w:rFonts w:cs="Arial"/>
          <w:color w:val="000000" w:themeColor="text1"/>
        </w:rPr>
        <w:t>reputasi</w:t>
      </w:r>
      <w:proofErr w:type="spellEnd"/>
      <w:r w:rsidRPr="00DF4E76">
        <w:rPr>
          <w:rFonts w:cs="Arial"/>
          <w:color w:val="000000" w:themeColor="text1"/>
        </w:rPr>
        <w:t xml:space="preserve"> </w:t>
      </w:r>
      <w:proofErr w:type="spellStart"/>
      <w:r w:rsidRPr="00DF4E76">
        <w:rPr>
          <w:rFonts w:cs="Arial"/>
          <w:color w:val="000000" w:themeColor="text1"/>
        </w:rPr>
        <w:t>mengambil</w:t>
      </w:r>
      <w:proofErr w:type="spellEnd"/>
      <w:r w:rsidRPr="00DF4E76">
        <w:rPr>
          <w:rFonts w:cs="Arial"/>
          <w:color w:val="000000" w:themeColor="text1"/>
        </w:rPr>
        <w:t xml:space="preserve"> </w:t>
      </w:r>
      <w:proofErr w:type="spellStart"/>
      <w:r w:rsidRPr="00DF4E76">
        <w:rPr>
          <w:rFonts w:cs="Arial"/>
          <w:color w:val="000000" w:themeColor="text1"/>
        </w:rPr>
        <w:t>objek</w:t>
      </w:r>
      <w:proofErr w:type="spellEnd"/>
      <w:r w:rsidRPr="00DF4E76">
        <w:rPr>
          <w:rFonts w:cs="Arial"/>
          <w:color w:val="000000" w:themeColor="text1"/>
        </w:rPr>
        <w:t xml:space="preserve"> </w:t>
      </w:r>
      <w:proofErr w:type="spellStart"/>
      <w:r w:rsidRPr="00DF4E76">
        <w:rPr>
          <w:rFonts w:cs="Arial"/>
          <w:color w:val="000000" w:themeColor="text1"/>
        </w:rPr>
        <w:t>perusahaan-perusahaan</w:t>
      </w:r>
      <w:proofErr w:type="spellEnd"/>
      <w:r w:rsidRPr="00DF4E76">
        <w:rPr>
          <w:rFonts w:cs="Arial"/>
          <w:color w:val="000000" w:themeColor="text1"/>
        </w:rPr>
        <w:t xml:space="preserve"> yang </w:t>
      </w:r>
      <w:proofErr w:type="spellStart"/>
      <w:r w:rsidRPr="00DF4E76">
        <w:rPr>
          <w:rFonts w:cs="Arial"/>
          <w:color w:val="000000" w:themeColor="text1"/>
        </w:rPr>
        <w:t>bereputasi</w:t>
      </w:r>
      <w:proofErr w:type="spellEnd"/>
      <w:r w:rsidRPr="00DF4E76">
        <w:rPr>
          <w:rFonts w:cs="Arial"/>
          <w:color w:val="000000" w:themeColor="text1"/>
        </w:rPr>
        <w:t xml:space="preserve"> </w:t>
      </w:r>
      <w:proofErr w:type="spellStart"/>
      <w:r w:rsidRPr="00DF4E76">
        <w:rPr>
          <w:rFonts w:cs="Arial"/>
          <w:color w:val="000000" w:themeColor="text1"/>
        </w:rPr>
        <w:t>untuk</w:t>
      </w:r>
      <w:proofErr w:type="spellEnd"/>
      <w:r w:rsidRPr="00DF4E76">
        <w:rPr>
          <w:rFonts w:cs="Arial"/>
          <w:color w:val="000000" w:themeColor="text1"/>
        </w:rPr>
        <w:t xml:space="preserve"> </w:t>
      </w:r>
      <w:proofErr w:type="spellStart"/>
      <w:r w:rsidRPr="00DF4E76">
        <w:rPr>
          <w:rFonts w:cs="Arial"/>
          <w:color w:val="000000" w:themeColor="text1"/>
        </w:rPr>
        <w:t>meliput</w:t>
      </w:r>
      <w:proofErr w:type="spellEnd"/>
      <w:r w:rsidRPr="00DF4E76">
        <w:rPr>
          <w:rFonts w:cs="Arial"/>
          <w:color w:val="000000" w:themeColor="text1"/>
        </w:rPr>
        <w:t xml:space="preserve"> </w:t>
      </w:r>
      <w:proofErr w:type="spellStart"/>
      <w:r w:rsidRPr="00DF4E76">
        <w:rPr>
          <w:rFonts w:cs="Arial"/>
          <w:color w:val="000000" w:themeColor="text1"/>
        </w:rPr>
        <w:t>segala</w:t>
      </w:r>
      <w:proofErr w:type="spellEnd"/>
      <w:r w:rsidRPr="00DF4E76">
        <w:rPr>
          <w:rFonts w:cs="Arial"/>
          <w:color w:val="000000" w:themeColor="text1"/>
        </w:rPr>
        <w:t xml:space="preserve"> </w:t>
      </w:r>
      <w:proofErr w:type="spellStart"/>
      <w:r w:rsidRPr="00DF4E76">
        <w:rPr>
          <w:rFonts w:cs="Arial"/>
          <w:color w:val="000000" w:themeColor="text1"/>
        </w:rPr>
        <w:t>aktivitas</w:t>
      </w:r>
      <w:proofErr w:type="spellEnd"/>
      <w:r w:rsidRPr="00DF4E76">
        <w:rPr>
          <w:rFonts w:cs="Arial"/>
          <w:color w:val="000000" w:themeColor="text1"/>
        </w:rPr>
        <w:t xml:space="preserve"> </w:t>
      </w:r>
      <w:proofErr w:type="spellStart"/>
      <w:r w:rsidRPr="00DF4E76">
        <w:rPr>
          <w:rFonts w:cs="Arial"/>
          <w:color w:val="000000" w:themeColor="text1"/>
        </w:rPr>
        <w:t>dari</w:t>
      </w:r>
      <w:proofErr w:type="spellEnd"/>
      <w:r w:rsidRPr="00DF4E76">
        <w:rPr>
          <w:rFonts w:cs="Arial"/>
          <w:color w:val="000000" w:themeColor="text1"/>
        </w:rPr>
        <w:t xml:space="preserve"> </w:t>
      </w:r>
      <w:proofErr w:type="spellStart"/>
      <w:r w:rsidRPr="00DF4E76">
        <w:rPr>
          <w:rFonts w:cs="Arial"/>
          <w:color w:val="000000" w:themeColor="text1"/>
        </w:rPr>
        <w:t>perusahaan</w:t>
      </w:r>
      <w:proofErr w:type="spellEnd"/>
      <w:r w:rsidRPr="00DF4E76">
        <w:rPr>
          <w:rFonts w:cs="Arial"/>
          <w:color w:val="000000" w:themeColor="text1"/>
        </w:rPr>
        <w:t xml:space="preserve"> </w:t>
      </w:r>
      <w:proofErr w:type="spellStart"/>
      <w:r w:rsidRPr="00DF4E76">
        <w:rPr>
          <w:rFonts w:cs="Arial"/>
          <w:color w:val="000000" w:themeColor="text1"/>
        </w:rPr>
        <w:t>tersebut</w:t>
      </w:r>
      <w:proofErr w:type="spellEnd"/>
      <w:r w:rsidRPr="00DF4E76">
        <w:rPr>
          <w:rFonts w:cs="Arial"/>
          <w:color w:val="000000" w:themeColor="text1"/>
        </w:rPr>
        <w:t xml:space="preserve"> </w:t>
      </w:r>
      <w:proofErr w:type="spellStart"/>
      <w:r w:rsidRPr="00DF4E76">
        <w:rPr>
          <w:rFonts w:cs="Arial"/>
          <w:color w:val="000000" w:themeColor="text1"/>
        </w:rPr>
        <w:t>termasuk</w:t>
      </w:r>
      <w:proofErr w:type="spellEnd"/>
      <w:r w:rsidRPr="00DF4E76">
        <w:rPr>
          <w:rFonts w:cs="Arial"/>
          <w:color w:val="000000" w:themeColor="text1"/>
        </w:rPr>
        <w:t xml:space="preserve"> </w:t>
      </w:r>
      <w:proofErr w:type="spellStart"/>
      <w:r w:rsidRPr="00DF4E76">
        <w:rPr>
          <w:rFonts w:cs="Arial"/>
          <w:color w:val="000000" w:themeColor="text1"/>
        </w:rPr>
        <w:t>dalam</w:t>
      </w:r>
      <w:proofErr w:type="spellEnd"/>
      <w:r w:rsidRPr="00DF4E76">
        <w:rPr>
          <w:rFonts w:cs="Arial"/>
          <w:color w:val="000000" w:themeColor="text1"/>
        </w:rPr>
        <w:t xml:space="preserve"> </w:t>
      </w:r>
      <w:proofErr w:type="spellStart"/>
      <w:r w:rsidRPr="00DF4E76">
        <w:rPr>
          <w:rFonts w:cs="Arial"/>
          <w:color w:val="000000" w:themeColor="text1"/>
        </w:rPr>
        <w:t>hal</w:t>
      </w:r>
      <w:proofErr w:type="spellEnd"/>
      <w:r w:rsidRPr="00DF4E76">
        <w:rPr>
          <w:rFonts w:cs="Arial"/>
          <w:color w:val="000000" w:themeColor="text1"/>
        </w:rPr>
        <w:t xml:space="preserve"> </w:t>
      </w:r>
      <w:proofErr w:type="spellStart"/>
      <w:r w:rsidRPr="00DF4E76">
        <w:rPr>
          <w:rFonts w:cs="Arial"/>
          <w:color w:val="000000" w:themeColor="text1"/>
        </w:rPr>
        <w:t>aktivitas</w:t>
      </w:r>
      <w:proofErr w:type="spellEnd"/>
      <w:r w:rsidRPr="00DF4E76">
        <w:rPr>
          <w:rFonts w:cs="Arial"/>
          <w:color w:val="000000" w:themeColor="text1"/>
        </w:rPr>
        <w:t xml:space="preserve"> CSR </w:t>
      </w:r>
      <w:proofErr w:type="spellStart"/>
      <w:r w:rsidRPr="00DF4E76">
        <w:rPr>
          <w:rFonts w:cs="Arial"/>
          <w:color w:val="000000" w:themeColor="text1"/>
        </w:rPr>
        <w:t>perusahaan</w:t>
      </w:r>
      <w:proofErr w:type="spellEnd"/>
      <w:r w:rsidRPr="00DF4E76">
        <w:rPr>
          <w:rFonts w:cs="Arial"/>
          <w:color w:val="000000" w:themeColor="text1"/>
        </w:rPr>
        <w:t xml:space="preserve">. </w:t>
      </w:r>
      <w:proofErr w:type="spellStart"/>
      <w:r w:rsidRPr="00DF4E76">
        <w:rPr>
          <w:rFonts w:cs="Arial"/>
          <w:color w:val="000000" w:themeColor="text1"/>
        </w:rPr>
        <w:t>Dekatnya</w:t>
      </w:r>
      <w:proofErr w:type="spellEnd"/>
      <w:r w:rsidRPr="00DF4E76">
        <w:rPr>
          <w:rFonts w:cs="Arial"/>
          <w:color w:val="000000" w:themeColor="text1"/>
        </w:rPr>
        <w:t xml:space="preserve"> media yang </w:t>
      </w:r>
      <w:proofErr w:type="spellStart"/>
      <w:r w:rsidRPr="00DF4E76">
        <w:rPr>
          <w:rFonts w:cs="Arial"/>
          <w:color w:val="000000" w:themeColor="text1"/>
        </w:rPr>
        <w:t>ada</w:t>
      </w:r>
      <w:proofErr w:type="spellEnd"/>
      <w:r w:rsidRPr="00DF4E76">
        <w:rPr>
          <w:rFonts w:cs="Arial"/>
          <w:color w:val="000000" w:themeColor="text1"/>
        </w:rPr>
        <w:t xml:space="preserve"> </w:t>
      </w:r>
      <w:proofErr w:type="spellStart"/>
      <w:r w:rsidRPr="00DF4E76">
        <w:rPr>
          <w:rFonts w:cs="Arial"/>
          <w:color w:val="000000" w:themeColor="text1"/>
        </w:rPr>
        <w:t>saat</w:t>
      </w:r>
      <w:proofErr w:type="spellEnd"/>
      <w:r w:rsidRPr="00DF4E76">
        <w:rPr>
          <w:rFonts w:cs="Arial"/>
          <w:color w:val="000000" w:themeColor="text1"/>
        </w:rPr>
        <w:t xml:space="preserve"> </w:t>
      </w:r>
      <w:proofErr w:type="spellStart"/>
      <w:r w:rsidRPr="00DF4E76">
        <w:rPr>
          <w:rFonts w:cs="Arial"/>
          <w:color w:val="000000" w:themeColor="text1"/>
        </w:rPr>
        <w:t>ini</w:t>
      </w:r>
      <w:proofErr w:type="spellEnd"/>
      <w:r w:rsidRPr="00DF4E76">
        <w:rPr>
          <w:rFonts w:cs="Arial"/>
          <w:color w:val="000000" w:themeColor="text1"/>
        </w:rPr>
        <w:t xml:space="preserve"> </w:t>
      </w:r>
      <w:proofErr w:type="spellStart"/>
      <w:r w:rsidRPr="00DF4E76">
        <w:rPr>
          <w:rFonts w:cs="Arial"/>
          <w:color w:val="000000" w:themeColor="text1"/>
        </w:rPr>
        <w:t>dengan</w:t>
      </w:r>
      <w:proofErr w:type="spellEnd"/>
      <w:r w:rsidRPr="00DF4E76">
        <w:rPr>
          <w:rFonts w:cs="Arial"/>
          <w:color w:val="000000" w:themeColor="text1"/>
        </w:rPr>
        <w:t xml:space="preserve"> </w:t>
      </w:r>
      <w:proofErr w:type="spellStart"/>
      <w:r w:rsidRPr="00DF4E76">
        <w:rPr>
          <w:rFonts w:cs="Arial"/>
          <w:color w:val="000000" w:themeColor="text1"/>
        </w:rPr>
        <w:t>pihak</w:t>
      </w:r>
      <w:proofErr w:type="spellEnd"/>
      <w:r w:rsidRPr="00DF4E76">
        <w:rPr>
          <w:rFonts w:cs="Arial"/>
          <w:color w:val="000000" w:themeColor="text1"/>
        </w:rPr>
        <w:t xml:space="preserve"> </w:t>
      </w:r>
      <w:proofErr w:type="spellStart"/>
      <w:r w:rsidRPr="00DF4E76">
        <w:rPr>
          <w:rFonts w:cs="Arial"/>
          <w:color w:val="000000" w:themeColor="text1"/>
        </w:rPr>
        <w:t>perusahaan</w:t>
      </w:r>
      <w:proofErr w:type="spellEnd"/>
      <w:r w:rsidRPr="00DF4E76">
        <w:rPr>
          <w:rFonts w:cs="Arial"/>
          <w:color w:val="000000" w:themeColor="text1"/>
        </w:rPr>
        <w:t xml:space="preserve"> </w:t>
      </w:r>
      <w:proofErr w:type="spellStart"/>
      <w:r w:rsidRPr="00DF4E76">
        <w:rPr>
          <w:rFonts w:cs="Arial"/>
          <w:color w:val="000000" w:themeColor="text1"/>
        </w:rPr>
        <w:t>membentuk</w:t>
      </w:r>
      <w:proofErr w:type="spellEnd"/>
      <w:r w:rsidRPr="00DF4E76">
        <w:rPr>
          <w:rFonts w:cs="Arial"/>
          <w:color w:val="000000" w:themeColor="text1"/>
        </w:rPr>
        <w:t xml:space="preserve"> </w:t>
      </w:r>
      <w:proofErr w:type="spellStart"/>
      <w:r w:rsidRPr="00DF4E76">
        <w:rPr>
          <w:rFonts w:cs="Arial"/>
          <w:color w:val="000000" w:themeColor="text1"/>
        </w:rPr>
        <w:t>hubungan</w:t>
      </w:r>
      <w:proofErr w:type="spellEnd"/>
      <w:r w:rsidRPr="00DF4E76">
        <w:rPr>
          <w:rFonts w:cs="Arial"/>
          <w:color w:val="000000" w:themeColor="text1"/>
        </w:rPr>
        <w:t xml:space="preserve"> </w:t>
      </w:r>
      <w:proofErr w:type="spellStart"/>
      <w:r w:rsidRPr="00DF4E76">
        <w:rPr>
          <w:rFonts w:cs="Arial"/>
          <w:color w:val="000000" w:themeColor="text1"/>
        </w:rPr>
        <w:t>mutualisme</w:t>
      </w:r>
      <w:proofErr w:type="spellEnd"/>
      <w:r w:rsidRPr="00DF4E76">
        <w:rPr>
          <w:rFonts w:cs="Arial"/>
          <w:color w:val="000000" w:themeColor="text1"/>
        </w:rPr>
        <w:t xml:space="preserve"> </w:t>
      </w:r>
      <w:proofErr w:type="spellStart"/>
      <w:r w:rsidRPr="00DF4E76">
        <w:rPr>
          <w:rFonts w:cs="Arial"/>
          <w:color w:val="000000" w:themeColor="text1"/>
        </w:rPr>
        <w:t>antara</w:t>
      </w:r>
      <w:proofErr w:type="spellEnd"/>
      <w:r w:rsidRPr="00DF4E76">
        <w:rPr>
          <w:rFonts w:cs="Arial"/>
          <w:color w:val="000000" w:themeColor="text1"/>
        </w:rPr>
        <w:t xml:space="preserve"> </w:t>
      </w:r>
      <w:proofErr w:type="spellStart"/>
      <w:r w:rsidRPr="00DF4E76">
        <w:rPr>
          <w:rFonts w:cs="Arial"/>
          <w:color w:val="000000" w:themeColor="text1"/>
        </w:rPr>
        <w:t>keduanya</w:t>
      </w:r>
      <w:proofErr w:type="spellEnd"/>
      <w:r w:rsidRPr="00DF4E76">
        <w:rPr>
          <w:rFonts w:cs="Arial"/>
          <w:color w:val="000000" w:themeColor="text1"/>
        </w:rPr>
        <w:t>.</w:t>
      </w:r>
    </w:p>
    <w:p w14:paraId="4B5B0092" w14:textId="469F3735" w:rsidR="00F5689B" w:rsidRPr="00F5689B" w:rsidRDefault="00F5689B" w:rsidP="00F5689B">
      <w:pPr>
        <w:ind w:left="284" w:right="222" w:firstLine="436"/>
        <w:jc w:val="both"/>
      </w:pPr>
      <w:proofErr w:type="spellStart"/>
      <w:r w:rsidRPr="00F5689B">
        <w:rPr>
          <w:rFonts w:cs="Arial"/>
          <w:color w:val="000000" w:themeColor="text1"/>
        </w:rPr>
        <w:t>Hubungan</w:t>
      </w:r>
      <w:proofErr w:type="spellEnd"/>
      <w:r w:rsidRPr="00F5689B">
        <w:rPr>
          <w:rFonts w:cs="Arial"/>
          <w:color w:val="000000" w:themeColor="text1"/>
        </w:rPr>
        <w:t xml:space="preserve"> </w:t>
      </w:r>
      <w:proofErr w:type="spellStart"/>
      <w:r w:rsidRPr="00F5689B">
        <w:rPr>
          <w:rFonts w:cs="Arial"/>
          <w:color w:val="000000" w:themeColor="text1"/>
        </w:rPr>
        <w:t>tersebut</w:t>
      </w:r>
      <w:proofErr w:type="spellEnd"/>
      <w:r w:rsidRPr="00F5689B">
        <w:rPr>
          <w:rFonts w:cs="Arial"/>
          <w:color w:val="000000" w:themeColor="text1"/>
        </w:rPr>
        <w:t xml:space="preserve"> </w:t>
      </w:r>
      <w:proofErr w:type="spellStart"/>
      <w:r w:rsidRPr="00F5689B">
        <w:rPr>
          <w:rFonts w:cs="Arial"/>
          <w:color w:val="000000" w:themeColor="text1"/>
        </w:rPr>
        <w:t>membuat</w:t>
      </w:r>
      <w:proofErr w:type="spellEnd"/>
      <w:r w:rsidRPr="00F5689B">
        <w:rPr>
          <w:rFonts w:cs="Arial"/>
          <w:color w:val="000000" w:themeColor="text1"/>
        </w:rPr>
        <w:t xml:space="preserve"> </w:t>
      </w:r>
      <w:proofErr w:type="spellStart"/>
      <w:r w:rsidRPr="00F5689B">
        <w:rPr>
          <w:rFonts w:cs="Arial"/>
          <w:color w:val="000000" w:themeColor="text1"/>
        </w:rPr>
        <w:t>kedua</w:t>
      </w:r>
      <w:proofErr w:type="spellEnd"/>
      <w:r w:rsidRPr="00F5689B">
        <w:rPr>
          <w:rFonts w:cs="Arial"/>
          <w:color w:val="000000" w:themeColor="text1"/>
        </w:rPr>
        <w:t xml:space="preserve"> </w:t>
      </w:r>
      <w:proofErr w:type="spellStart"/>
      <w:r w:rsidRPr="00F5689B">
        <w:rPr>
          <w:rFonts w:cs="Arial"/>
          <w:color w:val="000000" w:themeColor="text1"/>
        </w:rPr>
        <w:t>pihak</w:t>
      </w:r>
      <w:proofErr w:type="spellEnd"/>
      <w:r w:rsidRPr="00F5689B">
        <w:rPr>
          <w:rFonts w:cs="Arial"/>
          <w:color w:val="000000" w:themeColor="text1"/>
        </w:rPr>
        <w:t xml:space="preserve"> </w:t>
      </w:r>
      <w:proofErr w:type="spellStart"/>
      <w:r w:rsidRPr="00F5689B">
        <w:rPr>
          <w:rFonts w:cs="Arial"/>
          <w:color w:val="000000" w:themeColor="text1"/>
        </w:rPr>
        <w:t>sama-sama</w:t>
      </w:r>
      <w:proofErr w:type="spellEnd"/>
      <w:r w:rsidRPr="00F5689B">
        <w:rPr>
          <w:rFonts w:cs="Arial"/>
          <w:color w:val="000000" w:themeColor="text1"/>
        </w:rPr>
        <w:t xml:space="preserve"> </w:t>
      </w:r>
      <w:proofErr w:type="spellStart"/>
      <w:r w:rsidRPr="00F5689B">
        <w:rPr>
          <w:rFonts w:cs="Arial"/>
          <w:color w:val="000000" w:themeColor="text1"/>
        </w:rPr>
        <w:t>memperoleh</w:t>
      </w:r>
      <w:proofErr w:type="spellEnd"/>
      <w:r w:rsidRPr="00F5689B">
        <w:rPr>
          <w:rFonts w:cs="Arial"/>
          <w:color w:val="000000" w:themeColor="text1"/>
        </w:rPr>
        <w:t xml:space="preserve"> </w:t>
      </w:r>
      <w:proofErr w:type="spellStart"/>
      <w:r w:rsidRPr="00F5689B">
        <w:rPr>
          <w:rFonts w:cs="Arial"/>
          <w:color w:val="000000" w:themeColor="text1"/>
        </w:rPr>
        <w:t>keuntungan</w:t>
      </w:r>
      <w:proofErr w:type="spellEnd"/>
      <w:r w:rsidRPr="00F5689B">
        <w:rPr>
          <w:rFonts w:cs="Arial"/>
          <w:color w:val="000000" w:themeColor="text1"/>
        </w:rPr>
        <w:t xml:space="preserve">, </w:t>
      </w:r>
      <w:proofErr w:type="spellStart"/>
      <w:r w:rsidRPr="00F5689B">
        <w:rPr>
          <w:rFonts w:cs="Arial"/>
          <w:color w:val="000000" w:themeColor="text1"/>
        </w:rPr>
        <w:t>perusahaan</w:t>
      </w:r>
      <w:proofErr w:type="spellEnd"/>
      <w:r w:rsidRPr="00F5689B">
        <w:rPr>
          <w:rFonts w:cs="Arial"/>
          <w:color w:val="000000" w:themeColor="text1"/>
        </w:rPr>
        <w:t xml:space="preserve"> yang </w:t>
      </w:r>
      <w:proofErr w:type="spellStart"/>
      <w:r w:rsidRPr="00F5689B">
        <w:rPr>
          <w:rFonts w:cs="Arial"/>
          <w:color w:val="000000" w:themeColor="text1"/>
        </w:rPr>
        <w:t>harusnya</w:t>
      </w:r>
      <w:proofErr w:type="spellEnd"/>
      <w:r w:rsidRPr="00F5689B">
        <w:rPr>
          <w:rFonts w:cs="Arial"/>
          <w:color w:val="000000" w:themeColor="text1"/>
        </w:rPr>
        <w:t xml:space="preserve"> </w:t>
      </w:r>
      <w:proofErr w:type="spellStart"/>
      <w:r w:rsidRPr="00F5689B">
        <w:rPr>
          <w:rFonts w:cs="Arial"/>
          <w:color w:val="000000" w:themeColor="text1"/>
        </w:rPr>
        <w:t>mengeluarkan</w:t>
      </w:r>
      <w:proofErr w:type="spellEnd"/>
      <w:r w:rsidRPr="00F5689B">
        <w:rPr>
          <w:rFonts w:cs="Arial"/>
          <w:color w:val="000000" w:themeColor="text1"/>
        </w:rPr>
        <w:t xml:space="preserve"> </w:t>
      </w:r>
      <w:proofErr w:type="spellStart"/>
      <w:r w:rsidRPr="00F5689B">
        <w:rPr>
          <w:rFonts w:cs="Arial"/>
          <w:color w:val="000000" w:themeColor="text1"/>
        </w:rPr>
        <w:t>biaya</w:t>
      </w:r>
      <w:proofErr w:type="spellEnd"/>
      <w:r w:rsidRPr="00F5689B">
        <w:rPr>
          <w:rFonts w:cs="Arial"/>
          <w:color w:val="000000" w:themeColor="text1"/>
        </w:rPr>
        <w:t xml:space="preserve"> yang </w:t>
      </w:r>
      <w:proofErr w:type="spellStart"/>
      <w:r w:rsidRPr="00F5689B">
        <w:rPr>
          <w:rFonts w:cs="Arial"/>
          <w:color w:val="000000" w:themeColor="text1"/>
        </w:rPr>
        <w:t>cukup</w:t>
      </w:r>
      <w:proofErr w:type="spellEnd"/>
      <w:r w:rsidRPr="00F5689B">
        <w:rPr>
          <w:rFonts w:cs="Arial"/>
          <w:color w:val="000000" w:themeColor="text1"/>
        </w:rPr>
        <w:t xml:space="preserve"> </w:t>
      </w:r>
      <w:proofErr w:type="spellStart"/>
      <w:r w:rsidRPr="00F5689B">
        <w:rPr>
          <w:rFonts w:cs="Arial"/>
          <w:color w:val="000000" w:themeColor="text1"/>
        </w:rPr>
        <w:t>besar</w:t>
      </w:r>
      <w:proofErr w:type="spellEnd"/>
      <w:r w:rsidRPr="00F5689B">
        <w:rPr>
          <w:rFonts w:cs="Arial"/>
          <w:color w:val="000000" w:themeColor="text1"/>
        </w:rPr>
        <w:t xml:space="preserve"> </w:t>
      </w:r>
      <w:proofErr w:type="spellStart"/>
      <w:r w:rsidRPr="00F5689B">
        <w:rPr>
          <w:rFonts w:cs="Arial"/>
          <w:color w:val="000000" w:themeColor="text1"/>
        </w:rPr>
        <w:t>untuk</w:t>
      </w:r>
      <w:proofErr w:type="spellEnd"/>
      <w:r w:rsidRPr="00F5689B">
        <w:rPr>
          <w:rFonts w:cs="Arial"/>
          <w:color w:val="000000" w:themeColor="text1"/>
        </w:rPr>
        <w:t xml:space="preserve"> </w:t>
      </w:r>
      <w:proofErr w:type="spellStart"/>
      <w:r w:rsidRPr="00F5689B">
        <w:rPr>
          <w:rFonts w:cs="Arial"/>
          <w:color w:val="000000" w:themeColor="text1"/>
        </w:rPr>
        <w:t>memberikan</w:t>
      </w:r>
      <w:proofErr w:type="spellEnd"/>
      <w:r w:rsidRPr="00F5689B">
        <w:rPr>
          <w:rFonts w:cs="Arial"/>
          <w:color w:val="000000" w:themeColor="text1"/>
        </w:rPr>
        <w:t xml:space="preserve"> </w:t>
      </w:r>
      <w:proofErr w:type="spellStart"/>
      <w:r w:rsidRPr="00F5689B">
        <w:rPr>
          <w:rFonts w:cs="Arial"/>
          <w:color w:val="000000" w:themeColor="text1"/>
        </w:rPr>
        <w:t>kualitas</w:t>
      </w:r>
      <w:proofErr w:type="spellEnd"/>
      <w:r w:rsidRPr="00F5689B">
        <w:rPr>
          <w:rFonts w:cs="Arial"/>
          <w:color w:val="000000" w:themeColor="text1"/>
        </w:rPr>
        <w:t xml:space="preserve"> pada </w:t>
      </w:r>
      <w:proofErr w:type="spellStart"/>
      <w:r w:rsidRPr="00F5689B">
        <w:rPr>
          <w:rFonts w:cs="Arial"/>
          <w:color w:val="000000" w:themeColor="text1"/>
        </w:rPr>
        <w:t>pengungkapan</w:t>
      </w:r>
      <w:proofErr w:type="spellEnd"/>
      <w:r w:rsidRPr="00F5689B">
        <w:rPr>
          <w:rFonts w:cs="Arial"/>
          <w:color w:val="000000" w:themeColor="text1"/>
        </w:rPr>
        <w:t xml:space="preserve"> CSR </w:t>
      </w:r>
      <w:proofErr w:type="spellStart"/>
      <w:r w:rsidRPr="00F5689B">
        <w:rPr>
          <w:rFonts w:cs="Arial"/>
          <w:color w:val="000000" w:themeColor="text1"/>
        </w:rPr>
        <w:t>mereka</w:t>
      </w:r>
      <w:proofErr w:type="spellEnd"/>
      <w:r w:rsidRPr="00F5689B">
        <w:rPr>
          <w:rFonts w:cs="Arial"/>
          <w:color w:val="000000" w:themeColor="text1"/>
        </w:rPr>
        <w:t xml:space="preserve"> </w:t>
      </w:r>
      <w:proofErr w:type="spellStart"/>
      <w:r w:rsidRPr="00F5689B">
        <w:rPr>
          <w:rFonts w:cs="Arial"/>
          <w:color w:val="000000" w:themeColor="text1"/>
        </w:rPr>
        <w:t>menjadi</w:t>
      </w:r>
      <w:proofErr w:type="spellEnd"/>
      <w:r w:rsidRPr="00F5689B">
        <w:rPr>
          <w:rFonts w:cs="Arial"/>
          <w:color w:val="000000" w:themeColor="text1"/>
        </w:rPr>
        <w:t xml:space="preserve"> </w:t>
      </w:r>
      <w:proofErr w:type="spellStart"/>
      <w:r w:rsidRPr="00F5689B">
        <w:rPr>
          <w:rFonts w:cs="Arial"/>
          <w:color w:val="000000" w:themeColor="text1"/>
        </w:rPr>
        <w:t>ringan</w:t>
      </w:r>
      <w:proofErr w:type="spellEnd"/>
      <w:r w:rsidRPr="00F5689B">
        <w:rPr>
          <w:rFonts w:cs="Arial"/>
          <w:color w:val="000000" w:themeColor="text1"/>
        </w:rPr>
        <w:t xml:space="preserve"> </w:t>
      </w:r>
      <w:proofErr w:type="spellStart"/>
      <w:r w:rsidRPr="00F5689B">
        <w:rPr>
          <w:rFonts w:cs="Arial"/>
          <w:color w:val="000000" w:themeColor="text1"/>
        </w:rPr>
        <w:t>karena</w:t>
      </w:r>
      <w:proofErr w:type="spellEnd"/>
      <w:r w:rsidRPr="00F5689B">
        <w:rPr>
          <w:rFonts w:cs="Arial"/>
          <w:color w:val="000000" w:themeColor="text1"/>
        </w:rPr>
        <w:t xml:space="preserve"> </w:t>
      </w:r>
      <w:proofErr w:type="spellStart"/>
      <w:r w:rsidRPr="00F5689B">
        <w:rPr>
          <w:rFonts w:cs="Arial"/>
          <w:color w:val="000000" w:themeColor="text1"/>
        </w:rPr>
        <w:t>adanya</w:t>
      </w:r>
      <w:proofErr w:type="spellEnd"/>
      <w:r w:rsidRPr="00F5689B">
        <w:rPr>
          <w:rFonts w:cs="Arial"/>
          <w:color w:val="000000" w:themeColor="text1"/>
        </w:rPr>
        <w:t xml:space="preserve"> media. </w:t>
      </w:r>
      <w:proofErr w:type="spellStart"/>
      <w:r w:rsidRPr="00F5689B">
        <w:rPr>
          <w:rFonts w:cs="Arial"/>
          <w:color w:val="000000" w:themeColor="text1"/>
        </w:rPr>
        <w:t>Fokus</w:t>
      </w:r>
      <w:proofErr w:type="spellEnd"/>
      <w:r w:rsidRPr="00F5689B">
        <w:rPr>
          <w:rFonts w:cs="Arial"/>
          <w:color w:val="000000" w:themeColor="text1"/>
        </w:rPr>
        <w:t xml:space="preserve"> </w:t>
      </w:r>
      <w:proofErr w:type="spellStart"/>
      <w:r w:rsidRPr="00F5689B">
        <w:rPr>
          <w:rFonts w:cs="Arial"/>
          <w:color w:val="000000" w:themeColor="text1"/>
        </w:rPr>
        <w:t>pengguna</w:t>
      </w:r>
      <w:proofErr w:type="spellEnd"/>
      <w:r w:rsidRPr="00F5689B">
        <w:rPr>
          <w:rFonts w:cs="Arial"/>
          <w:color w:val="000000" w:themeColor="text1"/>
        </w:rPr>
        <w:t xml:space="preserve"> yang </w:t>
      </w:r>
      <w:proofErr w:type="spellStart"/>
      <w:r w:rsidRPr="00F5689B">
        <w:rPr>
          <w:rFonts w:cs="Arial"/>
          <w:color w:val="000000" w:themeColor="text1"/>
        </w:rPr>
        <w:t>terkait</w:t>
      </w:r>
      <w:proofErr w:type="spellEnd"/>
      <w:r w:rsidRPr="00F5689B">
        <w:rPr>
          <w:rFonts w:cs="Arial"/>
          <w:color w:val="000000" w:themeColor="text1"/>
        </w:rPr>
        <w:t xml:space="preserve"> juga </w:t>
      </w:r>
      <w:proofErr w:type="spellStart"/>
      <w:r w:rsidRPr="00F5689B">
        <w:rPr>
          <w:rFonts w:cs="Arial"/>
          <w:color w:val="000000" w:themeColor="text1"/>
        </w:rPr>
        <w:t>terbantu</w:t>
      </w:r>
      <w:proofErr w:type="spellEnd"/>
      <w:r w:rsidRPr="00F5689B">
        <w:rPr>
          <w:rFonts w:cs="Arial"/>
          <w:color w:val="000000" w:themeColor="text1"/>
        </w:rPr>
        <w:t xml:space="preserve"> agar </w:t>
      </w:r>
      <w:proofErr w:type="spellStart"/>
      <w:r w:rsidRPr="00F5689B">
        <w:rPr>
          <w:rFonts w:cs="Arial"/>
          <w:color w:val="000000" w:themeColor="text1"/>
        </w:rPr>
        <w:t>tetap</w:t>
      </w:r>
      <w:proofErr w:type="spellEnd"/>
      <w:r w:rsidRPr="00F5689B">
        <w:rPr>
          <w:rFonts w:cs="Arial"/>
          <w:color w:val="000000" w:themeColor="text1"/>
        </w:rPr>
        <w:t xml:space="preserve"> </w:t>
      </w:r>
      <w:proofErr w:type="spellStart"/>
      <w:r w:rsidRPr="00F5689B">
        <w:rPr>
          <w:rFonts w:cs="Arial"/>
          <w:color w:val="000000" w:themeColor="text1"/>
        </w:rPr>
        <w:t>fokus</w:t>
      </w:r>
      <w:proofErr w:type="spellEnd"/>
      <w:r w:rsidRPr="00F5689B">
        <w:rPr>
          <w:rFonts w:cs="Arial"/>
          <w:color w:val="000000" w:themeColor="text1"/>
        </w:rPr>
        <w:t xml:space="preserve"> </w:t>
      </w:r>
      <w:proofErr w:type="spellStart"/>
      <w:r w:rsidRPr="00F5689B">
        <w:rPr>
          <w:rFonts w:cs="Arial"/>
          <w:color w:val="000000" w:themeColor="text1"/>
        </w:rPr>
        <w:t>kepada</w:t>
      </w:r>
      <w:proofErr w:type="spellEnd"/>
      <w:r w:rsidRPr="00F5689B">
        <w:rPr>
          <w:rFonts w:cs="Arial"/>
          <w:color w:val="000000" w:themeColor="text1"/>
        </w:rPr>
        <w:t xml:space="preserve"> </w:t>
      </w:r>
      <w:proofErr w:type="spellStart"/>
      <w:r w:rsidRPr="00F5689B">
        <w:rPr>
          <w:rFonts w:cs="Arial"/>
          <w:color w:val="000000" w:themeColor="text1"/>
        </w:rPr>
        <w:t>laporan</w:t>
      </w:r>
      <w:proofErr w:type="spellEnd"/>
      <w:r w:rsidRPr="00F5689B">
        <w:rPr>
          <w:rFonts w:cs="Arial"/>
          <w:color w:val="000000" w:themeColor="text1"/>
        </w:rPr>
        <w:t xml:space="preserve"> </w:t>
      </w:r>
      <w:proofErr w:type="spellStart"/>
      <w:r w:rsidRPr="00F5689B">
        <w:rPr>
          <w:rFonts w:cs="Arial"/>
          <w:color w:val="000000" w:themeColor="text1"/>
        </w:rPr>
        <w:t>keuangan</w:t>
      </w:r>
      <w:proofErr w:type="spellEnd"/>
      <w:r w:rsidRPr="00F5689B">
        <w:rPr>
          <w:rFonts w:cs="Arial"/>
          <w:color w:val="000000" w:themeColor="text1"/>
        </w:rPr>
        <w:t xml:space="preserve"> </w:t>
      </w:r>
      <w:proofErr w:type="spellStart"/>
      <w:r w:rsidRPr="00F5689B">
        <w:rPr>
          <w:rFonts w:cs="Arial"/>
          <w:color w:val="000000" w:themeColor="text1"/>
        </w:rPr>
        <w:t>dibanding</w:t>
      </w:r>
      <w:proofErr w:type="spellEnd"/>
      <w:r w:rsidRPr="00F5689B">
        <w:rPr>
          <w:rFonts w:cs="Arial"/>
          <w:color w:val="000000" w:themeColor="text1"/>
        </w:rPr>
        <w:t xml:space="preserve"> </w:t>
      </w:r>
      <w:proofErr w:type="spellStart"/>
      <w:r w:rsidRPr="00F5689B">
        <w:rPr>
          <w:rFonts w:cs="Arial"/>
          <w:color w:val="000000" w:themeColor="text1"/>
        </w:rPr>
        <w:t>laporan</w:t>
      </w:r>
      <w:proofErr w:type="spellEnd"/>
      <w:r w:rsidRPr="00F5689B">
        <w:rPr>
          <w:rFonts w:cs="Arial"/>
          <w:color w:val="000000" w:themeColor="text1"/>
        </w:rPr>
        <w:t xml:space="preserve"> non-</w:t>
      </w:r>
      <w:proofErr w:type="spellStart"/>
      <w:r w:rsidRPr="00F5689B">
        <w:rPr>
          <w:rFonts w:cs="Arial"/>
          <w:color w:val="000000" w:themeColor="text1"/>
        </w:rPr>
        <w:t>keuangan</w:t>
      </w:r>
      <w:proofErr w:type="spellEnd"/>
      <w:r w:rsidR="00AB5E21">
        <w:rPr>
          <w:rFonts w:cs="Arial"/>
          <w:color w:val="000000" w:themeColor="text1"/>
        </w:rPr>
        <w:t xml:space="preserve"> </w:t>
      </w:r>
      <w:r w:rsidR="00AB5E21">
        <w:rPr>
          <w:rFonts w:cs="Arial"/>
          <w:color w:val="000000" w:themeColor="text1"/>
        </w:rPr>
        <w:fldChar w:fldCharType="begin" w:fldLock="1"/>
      </w:r>
      <w:r w:rsidR="00BC730B">
        <w:rPr>
          <w:rFonts w:cs="Arial"/>
          <w:color w:val="000000" w:themeColor="text1"/>
        </w:rPr>
        <w:instrText>ADDIN CSL_CITATION {"citationItems":[{"id":"ITEM-1","itemData":{"DOI":"10.28992/IJSAM.V4I2.282","ISSN":"2597-6222","abstract":"This study presents a comprehensive approach to measure sustainability reporting quality (SRQ) and examines levels of SRQ. It was then used to measure SRQ in Indonesia. Based on reporting guidelines, the new comprehensive measurement for SRQ was developed by not only evaluating the extent of disclosures, but also by examining the quality. The content analysis was conducted to measure the level of SRQ using this comprehensive measurement. The samples are from stand-alone sustainability reports of companies. The results indicate that the overall score for SRQ was moderate. The score was derived using five aspects: the extent of quantitative reporting, the extent of qualitative reporting, the content of the report, the quality of the report, and sustainability reporting accordance. This proposed comprehensive SRQ measurement was used to examine the quantitative and qualitative aspects. This measurement will help academicians to examine the quality of reports and provide more credible assessments that can be used by practitioners to analyze the content of the report. Applying the SRQ measure to Indonesian companies empirically enriches the existing literature and creates a new platform for future studies.","author":[{"dropping-particle":"","family":"Permatasari","given":"Paulina","non-dropping-particle":"","parse-names":false,"suffix":""},{"dropping-particle":"","family":"Gunawan","given":"Juniati","non-dropping-particle":"","parse-names":false,"suffix":""},{"dropping-particle":"","family":"El-Bannany","given":"Magdi","non-dropping-particle":"","parse-names":false,"suffix":""}],"container-title":"Indonesian Journal of Sustainability Accounting and Management","id":"ITEM-1","issue":"2","issued":{"date-parts":[["2020","12","24"]]},"page":"249-265","publisher":"Universitas Pasundan Kampus 2","title":"A Comprehensive Measurement for Sustainability Reporting Quality: Principles-Based Approach","type":"article-journal","volume":"4"},"uris":["http://www.mendeley.com/documents/?uuid=8dd88aef-b466-34dd-876d-0381f75f247b"]}],"mendeley":{"formattedCitation":"(Permatasari, Gunawan, &amp; El-Bannany, 2020)","plainTextFormattedCitation":"(Permatasari, Gunawan, &amp; El-Bannany, 2020)","previouslyFormattedCitation":"(Permatasari, Gunawan, &amp; El-Bannany, 2020)"},"properties":{"noteIndex":0},"schema":"https://github.com/citation-style-language/schema/raw/master/csl-citation.json"}</w:instrText>
      </w:r>
      <w:r w:rsidR="00AB5E21">
        <w:rPr>
          <w:rFonts w:cs="Arial"/>
          <w:color w:val="000000" w:themeColor="text1"/>
        </w:rPr>
        <w:fldChar w:fldCharType="separate"/>
      </w:r>
      <w:r w:rsidR="00AB5E21" w:rsidRPr="00AB5E21">
        <w:rPr>
          <w:rFonts w:cs="Arial"/>
          <w:noProof/>
          <w:color w:val="000000" w:themeColor="text1"/>
        </w:rPr>
        <w:t>(Permatasari, Gunawan, &amp; El-Bannany, 2020)</w:t>
      </w:r>
      <w:r w:rsidR="00AB5E21">
        <w:rPr>
          <w:rFonts w:cs="Arial"/>
          <w:color w:val="000000" w:themeColor="text1"/>
        </w:rPr>
        <w:fldChar w:fldCharType="end"/>
      </w:r>
      <w:r w:rsidRPr="00F5689B">
        <w:rPr>
          <w:rFonts w:cs="Arial"/>
          <w:color w:val="000000" w:themeColor="text1"/>
        </w:rPr>
        <w:t xml:space="preserve">. Pada </w:t>
      </w:r>
      <w:proofErr w:type="spellStart"/>
      <w:r w:rsidRPr="00F5689B">
        <w:rPr>
          <w:rFonts w:cs="Arial"/>
          <w:color w:val="000000" w:themeColor="text1"/>
        </w:rPr>
        <w:t>kenyataannya</w:t>
      </w:r>
      <w:proofErr w:type="spellEnd"/>
      <w:r w:rsidRPr="00F5689B">
        <w:rPr>
          <w:rFonts w:cs="Arial"/>
          <w:color w:val="000000" w:themeColor="text1"/>
        </w:rPr>
        <w:t xml:space="preserve"> </w:t>
      </w:r>
      <w:proofErr w:type="spellStart"/>
      <w:r w:rsidRPr="00F5689B">
        <w:rPr>
          <w:rFonts w:cs="Arial"/>
          <w:color w:val="000000" w:themeColor="text1"/>
        </w:rPr>
        <w:t>pengungkapan</w:t>
      </w:r>
      <w:proofErr w:type="spellEnd"/>
      <w:r w:rsidRPr="00F5689B">
        <w:rPr>
          <w:rFonts w:cs="Arial"/>
          <w:color w:val="000000" w:themeColor="text1"/>
        </w:rPr>
        <w:t xml:space="preserve"> CSR </w:t>
      </w:r>
      <w:proofErr w:type="spellStart"/>
      <w:r w:rsidRPr="00F5689B">
        <w:rPr>
          <w:rFonts w:cs="Arial"/>
          <w:color w:val="000000" w:themeColor="text1"/>
        </w:rPr>
        <w:t>saat</w:t>
      </w:r>
      <w:proofErr w:type="spellEnd"/>
      <w:r w:rsidRPr="00F5689B">
        <w:rPr>
          <w:rFonts w:cs="Arial"/>
          <w:color w:val="000000" w:themeColor="text1"/>
        </w:rPr>
        <w:t xml:space="preserve"> </w:t>
      </w:r>
      <w:proofErr w:type="spellStart"/>
      <w:r w:rsidRPr="00F5689B">
        <w:rPr>
          <w:rFonts w:cs="Arial"/>
          <w:color w:val="000000" w:themeColor="text1"/>
        </w:rPr>
        <w:t>ini</w:t>
      </w:r>
      <w:proofErr w:type="spellEnd"/>
      <w:r w:rsidRPr="00F5689B">
        <w:rPr>
          <w:rFonts w:cs="Arial"/>
          <w:color w:val="000000" w:themeColor="text1"/>
        </w:rPr>
        <w:t xml:space="preserve"> </w:t>
      </w:r>
      <w:proofErr w:type="spellStart"/>
      <w:r w:rsidRPr="00F5689B">
        <w:rPr>
          <w:rFonts w:cs="Arial"/>
          <w:color w:val="000000" w:themeColor="text1"/>
        </w:rPr>
        <w:t>lebih</w:t>
      </w:r>
      <w:proofErr w:type="spellEnd"/>
      <w:r w:rsidRPr="00F5689B">
        <w:rPr>
          <w:rFonts w:cs="Arial"/>
          <w:color w:val="000000" w:themeColor="text1"/>
        </w:rPr>
        <w:t xml:space="preserve"> </w:t>
      </w:r>
      <w:proofErr w:type="spellStart"/>
      <w:r w:rsidRPr="00F5689B">
        <w:rPr>
          <w:rFonts w:cs="Arial"/>
          <w:color w:val="000000" w:themeColor="text1"/>
        </w:rPr>
        <w:t>kepada</w:t>
      </w:r>
      <w:proofErr w:type="spellEnd"/>
      <w:r w:rsidRPr="00F5689B">
        <w:rPr>
          <w:rFonts w:cs="Arial"/>
          <w:color w:val="000000" w:themeColor="text1"/>
        </w:rPr>
        <w:t xml:space="preserve"> </w:t>
      </w:r>
      <w:proofErr w:type="spellStart"/>
      <w:r w:rsidRPr="00F5689B">
        <w:rPr>
          <w:rFonts w:cs="Arial"/>
          <w:color w:val="000000" w:themeColor="text1"/>
        </w:rPr>
        <w:t>simbolik</w:t>
      </w:r>
      <w:proofErr w:type="spellEnd"/>
      <w:r w:rsidRPr="00F5689B">
        <w:rPr>
          <w:rFonts w:cs="Arial"/>
          <w:color w:val="000000" w:themeColor="text1"/>
        </w:rPr>
        <w:t xml:space="preserve"> </w:t>
      </w:r>
      <w:proofErr w:type="spellStart"/>
      <w:r w:rsidRPr="00F5689B">
        <w:rPr>
          <w:rFonts w:cs="Arial"/>
          <w:color w:val="000000" w:themeColor="text1"/>
        </w:rPr>
        <w:t>semata</w:t>
      </w:r>
      <w:proofErr w:type="spellEnd"/>
      <w:r w:rsidRPr="00F5689B">
        <w:rPr>
          <w:rFonts w:cs="Arial"/>
          <w:color w:val="000000" w:themeColor="text1"/>
        </w:rPr>
        <w:t>, "</w:t>
      </w:r>
      <w:proofErr w:type="spellStart"/>
      <w:r w:rsidRPr="00F5689B">
        <w:rPr>
          <w:rFonts w:cs="Arial"/>
          <w:color w:val="000000" w:themeColor="text1"/>
        </w:rPr>
        <w:t>diungkapkan</w:t>
      </w:r>
      <w:proofErr w:type="spellEnd"/>
      <w:r w:rsidRPr="00F5689B">
        <w:rPr>
          <w:rFonts w:cs="Arial"/>
          <w:color w:val="000000" w:themeColor="text1"/>
        </w:rPr>
        <w:t xml:space="preserve"> </w:t>
      </w:r>
      <w:proofErr w:type="spellStart"/>
      <w:r w:rsidRPr="00F5689B">
        <w:rPr>
          <w:rFonts w:cs="Arial"/>
          <w:color w:val="000000" w:themeColor="text1"/>
        </w:rPr>
        <w:t>atau</w:t>
      </w:r>
      <w:proofErr w:type="spellEnd"/>
      <w:r w:rsidRPr="00F5689B">
        <w:rPr>
          <w:rFonts w:cs="Arial"/>
          <w:color w:val="000000" w:themeColor="text1"/>
        </w:rPr>
        <w:t xml:space="preserve"> </w:t>
      </w:r>
      <w:proofErr w:type="spellStart"/>
      <w:r w:rsidRPr="00F5689B">
        <w:rPr>
          <w:rFonts w:cs="Arial"/>
          <w:color w:val="000000" w:themeColor="text1"/>
        </w:rPr>
        <w:t>tidak</w:t>
      </w:r>
      <w:proofErr w:type="spellEnd"/>
      <w:r w:rsidRPr="00F5689B">
        <w:rPr>
          <w:rFonts w:cs="Arial"/>
          <w:color w:val="000000" w:themeColor="text1"/>
        </w:rPr>
        <w:t xml:space="preserve"> </w:t>
      </w:r>
      <w:proofErr w:type="spellStart"/>
      <w:r w:rsidRPr="00F5689B">
        <w:rPr>
          <w:rFonts w:cs="Arial"/>
          <w:color w:val="000000" w:themeColor="text1"/>
        </w:rPr>
        <w:lastRenderedPageBreak/>
        <w:t>diungkapkan</w:t>
      </w:r>
      <w:proofErr w:type="spellEnd"/>
      <w:r w:rsidRPr="00F5689B">
        <w:rPr>
          <w:rFonts w:cs="Arial"/>
          <w:color w:val="000000" w:themeColor="text1"/>
        </w:rPr>
        <w:t xml:space="preserve">" </w:t>
      </w:r>
      <w:proofErr w:type="spellStart"/>
      <w:r w:rsidRPr="00F5689B">
        <w:rPr>
          <w:rFonts w:cs="Arial"/>
          <w:color w:val="000000" w:themeColor="text1"/>
        </w:rPr>
        <w:t>hanya</w:t>
      </w:r>
      <w:proofErr w:type="spellEnd"/>
      <w:r w:rsidRPr="00F5689B">
        <w:rPr>
          <w:rFonts w:cs="Arial"/>
          <w:color w:val="000000" w:themeColor="text1"/>
        </w:rPr>
        <w:t xml:space="preserve"> demi </w:t>
      </w:r>
      <w:proofErr w:type="spellStart"/>
      <w:r w:rsidRPr="00F5689B">
        <w:rPr>
          <w:rFonts w:cs="Arial"/>
          <w:color w:val="000000" w:themeColor="text1"/>
        </w:rPr>
        <w:t>mengikuti</w:t>
      </w:r>
      <w:proofErr w:type="spellEnd"/>
      <w:r w:rsidRPr="00F5689B">
        <w:rPr>
          <w:rFonts w:cs="Arial"/>
          <w:color w:val="000000" w:themeColor="text1"/>
        </w:rPr>
        <w:t xml:space="preserve"> </w:t>
      </w:r>
      <w:proofErr w:type="spellStart"/>
      <w:r w:rsidRPr="00F5689B">
        <w:rPr>
          <w:rFonts w:cs="Arial"/>
          <w:color w:val="000000" w:themeColor="text1"/>
        </w:rPr>
        <w:t>aturan</w:t>
      </w:r>
      <w:proofErr w:type="spellEnd"/>
      <w:r w:rsidRPr="00F5689B">
        <w:rPr>
          <w:rFonts w:cs="Arial"/>
          <w:color w:val="000000" w:themeColor="text1"/>
        </w:rPr>
        <w:t xml:space="preserve"> yang </w:t>
      </w:r>
      <w:proofErr w:type="spellStart"/>
      <w:r w:rsidRPr="00F5689B">
        <w:rPr>
          <w:rFonts w:cs="Arial"/>
          <w:color w:val="000000" w:themeColor="text1"/>
        </w:rPr>
        <w:t>ada</w:t>
      </w:r>
      <w:proofErr w:type="spellEnd"/>
      <w:r>
        <w:rPr>
          <w:rFonts w:cs="Arial"/>
          <w:color w:val="000000" w:themeColor="text1"/>
        </w:rPr>
        <w:t>.</w:t>
      </w:r>
    </w:p>
    <w:p w14:paraId="078745CD" w14:textId="77777777" w:rsidR="00702151" w:rsidRDefault="00702151" w:rsidP="00702151">
      <w:pPr>
        <w:ind w:left="284" w:right="222" w:firstLine="436"/>
        <w:jc w:val="both"/>
      </w:pPr>
    </w:p>
    <w:p w14:paraId="7EEA59E3" w14:textId="7599F662" w:rsidR="00FF51EB" w:rsidRDefault="00BE4EBF" w:rsidP="00F5689B">
      <w:pPr>
        <w:pStyle w:val="Heading1"/>
        <w:spacing w:before="1"/>
      </w:pPr>
      <w:r>
        <w:rPr>
          <w:color w:val="00AF50"/>
        </w:rPr>
        <w:t>CONCLUSION</w:t>
      </w:r>
    </w:p>
    <w:p w14:paraId="19C9DBA7" w14:textId="77777777" w:rsidR="00DF4E76" w:rsidRDefault="00DF4E76" w:rsidP="00FF51EB">
      <w:pPr>
        <w:pStyle w:val="BodyText"/>
        <w:spacing w:line="276" w:lineRule="auto"/>
        <w:ind w:left="284" w:right="134"/>
        <w:jc w:val="both"/>
      </w:pPr>
    </w:p>
    <w:p w14:paraId="2282D1CE" w14:textId="417411DA" w:rsidR="00F5689B" w:rsidRDefault="00F5689B" w:rsidP="00F5689B">
      <w:pPr>
        <w:ind w:left="284"/>
        <w:jc w:val="both"/>
        <w:rPr>
          <w:rFonts w:cs="Arial"/>
        </w:rPr>
      </w:pPr>
      <w:r w:rsidRPr="00F5689B">
        <w:rPr>
          <w:rFonts w:cs="Arial"/>
        </w:rPr>
        <w:t xml:space="preserve">Setelah </w:t>
      </w:r>
      <w:proofErr w:type="spellStart"/>
      <w:r w:rsidRPr="00F5689B">
        <w:rPr>
          <w:rFonts w:cs="Arial"/>
        </w:rPr>
        <w:t>mengkaji</w:t>
      </w:r>
      <w:proofErr w:type="spellEnd"/>
      <w:r w:rsidRPr="00F5689B">
        <w:rPr>
          <w:rFonts w:cs="Arial"/>
        </w:rPr>
        <w:t xml:space="preserve"> dan </w:t>
      </w:r>
      <w:proofErr w:type="spellStart"/>
      <w:r w:rsidRPr="00F5689B">
        <w:rPr>
          <w:rFonts w:cs="Arial"/>
        </w:rPr>
        <w:t>menganalisis</w:t>
      </w:r>
      <w:proofErr w:type="spellEnd"/>
      <w:r w:rsidRPr="00F5689B">
        <w:rPr>
          <w:rFonts w:cs="Arial"/>
        </w:rPr>
        <w:t xml:space="preserve"> </w:t>
      </w:r>
      <w:proofErr w:type="spellStart"/>
      <w:r w:rsidRPr="00F5689B">
        <w:rPr>
          <w:rFonts w:cs="Arial"/>
        </w:rPr>
        <w:t>hasil</w:t>
      </w:r>
      <w:proofErr w:type="spellEnd"/>
      <w:r w:rsidRPr="00F5689B">
        <w:rPr>
          <w:rFonts w:cs="Arial"/>
        </w:rPr>
        <w:t xml:space="preserve"> </w:t>
      </w:r>
      <w:proofErr w:type="spellStart"/>
      <w:r w:rsidRPr="00F5689B">
        <w:rPr>
          <w:rFonts w:cs="Arial"/>
        </w:rPr>
        <w:t>penelitian</w:t>
      </w:r>
      <w:proofErr w:type="spellEnd"/>
      <w:r w:rsidRPr="00F5689B">
        <w:rPr>
          <w:rFonts w:cs="Arial"/>
        </w:rPr>
        <w:t xml:space="preserve"> </w:t>
      </w:r>
      <w:proofErr w:type="spellStart"/>
      <w:r w:rsidRPr="00F5689B">
        <w:rPr>
          <w:rFonts w:cs="Arial"/>
        </w:rPr>
        <w:t>melalui</w:t>
      </w:r>
      <w:proofErr w:type="spellEnd"/>
      <w:r w:rsidRPr="00F5689B">
        <w:rPr>
          <w:rFonts w:cs="Arial"/>
        </w:rPr>
        <w:t xml:space="preserve"> </w:t>
      </w:r>
      <w:proofErr w:type="spellStart"/>
      <w:r w:rsidRPr="00F5689B">
        <w:rPr>
          <w:rFonts w:cs="Arial"/>
        </w:rPr>
        <w:t>tiga</w:t>
      </w:r>
      <w:proofErr w:type="spellEnd"/>
      <w:r w:rsidRPr="00F5689B">
        <w:rPr>
          <w:rFonts w:cs="Arial"/>
        </w:rPr>
        <w:t xml:space="preserve"> </w:t>
      </w:r>
      <w:proofErr w:type="spellStart"/>
      <w:r w:rsidRPr="00F5689B">
        <w:rPr>
          <w:rFonts w:cs="Arial"/>
        </w:rPr>
        <w:t>askek</w:t>
      </w:r>
      <w:proofErr w:type="spellEnd"/>
      <w:r w:rsidRPr="00F5689B">
        <w:rPr>
          <w:rFonts w:cs="Arial"/>
        </w:rPr>
        <w:t xml:space="preserve"> </w:t>
      </w:r>
      <w:proofErr w:type="spellStart"/>
      <w:r w:rsidRPr="00F5689B">
        <w:rPr>
          <w:rFonts w:cs="Arial"/>
        </w:rPr>
        <w:t>yaitu</w:t>
      </w:r>
      <w:proofErr w:type="spellEnd"/>
      <w:r w:rsidRPr="00F5689B">
        <w:rPr>
          <w:rFonts w:cs="Arial"/>
        </w:rPr>
        <w:t xml:space="preserve"> </w:t>
      </w:r>
      <w:proofErr w:type="spellStart"/>
      <w:r w:rsidRPr="00F5689B">
        <w:rPr>
          <w:rFonts w:cs="Arial"/>
        </w:rPr>
        <w:t>aspek</w:t>
      </w:r>
      <w:proofErr w:type="spellEnd"/>
      <w:r w:rsidRPr="00F5689B">
        <w:rPr>
          <w:rFonts w:cs="Arial"/>
        </w:rPr>
        <w:t xml:space="preserve"> </w:t>
      </w:r>
      <w:proofErr w:type="spellStart"/>
      <w:r w:rsidRPr="00F5689B">
        <w:rPr>
          <w:rFonts w:cs="Arial"/>
        </w:rPr>
        <w:t>tinjauan</w:t>
      </w:r>
      <w:proofErr w:type="spellEnd"/>
      <w:r w:rsidRPr="00F5689B">
        <w:rPr>
          <w:rFonts w:cs="Arial"/>
        </w:rPr>
        <w:t xml:space="preserve"> </w:t>
      </w:r>
      <w:proofErr w:type="spellStart"/>
      <w:r w:rsidRPr="00F5689B">
        <w:rPr>
          <w:rFonts w:cs="Arial"/>
        </w:rPr>
        <w:t>teoritis</w:t>
      </w:r>
      <w:proofErr w:type="spellEnd"/>
      <w:r w:rsidRPr="00F5689B">
        <w:rPr>
          <w:rFonts w:cs="Arial"/>
        </w:rPr>
        <w:t xml:space="preserve">, </w:t>
      </w:r>
      <w:proofErr w:type="spellStart"/>
      <w:r w:rsidRPr="00F5689B">
        <w:rPr>
          <w:rFonts w:cs="Arial"/>
        </w:rPr>
        <w:t>aspek</w:t>
      </w:r>
      <w:proofErr w:type="spellEnd"/>
      <w:r w:rsidRPr="00F5689B">
        <w:rPr>
          <w:rFonts w:cs="Arial"/>
        </w:rPr>
        <w:t xml:space="preserve"> </w:t>
      </w:r>
      <w:proofErr w:type="spellStart"/>
      <w:r w:rsidRPr="00F5689B">
        <w:rPr>
          <w:rFonts w:cs="Arial"/>
        </w:rPr>
        <w:t>tinjauan</w:t>
      </w:r>
      <w:proofErr w:type="spellEnd"/>
      <w:r w:rsidRPr="00F5689B">
        <w:rPr>
          <w:rFonts w:cs="Arial"/>
        </w:rPr>
        <w:t xml:space="preserve"> </w:t>
      </w:r>
      <w:proofErr w:type="spellStart"/>
      <w:r w:rsidRPr="00F5689B">
        <w:rPr>
          <w:rFonts w:cs="Arial"/>
        </w:rPr>
        <w:t>empiris</w:t>
      </w:r>
      <w:proofErr w:type="spellEnd"/>
      <w:r w:rsidRPr="00F5689B">
        <w:rPr>
          <w:rFonts w:cs="Arial"/>
        </w:rPr>
        <w:t xml:space="preserve">, dan </w:t>
      </w:r>
      <w:proofErr w:type="spellStart"/>
      <w:r w:rsidRPr="00F5689B">
        <w:rPr>
          <w:rFonts w:cs="Arial"/>
        </w:rPr>
        <w:t>aspek</w:t>
      </w:r>
      <w:proofErr w:type="spellEnd"/>
      <w:r w:rsidRPr="00F5689B">
        <w:rPr>
          <w:rFonts w:cs="Arial"/>
        </w:rPr>
        <w:t xml:space="preserve"> </w:t>
      </w:r>
      <w:proofErr w:type="spellStart"/>
      <w:r w:rsidRPr="00F5689B">
        <w:rPr>
          <w:rFonts w:cs="Arial"/>
        </w:rPr>
        <w:t>implikasi</w:t>
      </w:r>
      <w:proofErr w:type="spellEnd"/>
      <w:r w:rsidRPr="00F5689B">
        <w:rPr>
          <w:rFonts w:cs="Arial"/>
        </w:rPr>
        <w:t xml:space="preserve"> </w:t>
      </w:r>
      <w:proofErr w:type="spellStart"/>
      <w:r w:rsidRPr="00F5689B">
        <w:rPr>
          <w:rFonts w:cs="Arial"/>
        </w:rPr>
        <w:t>penelitian</w:t>
      </w:r>
      <w:proofErr w:type="spellEnd"/>
      <w:r w:rsidRPr="00F5689B">
        <w:rPr>
          <w:rFonts w:cs="Arial"/>
        </w:rPr>
        <w:t xml:space="preserve">, </w:t>
      </w:r>
      <w:proofErr w:type="spellStart"/>
      <w:r w:rsidRPr="00F5689B">
        <w:rPr>
          <w:rFonts w:cs="Arial"/>
        </w:rPr>
        <w:t>maka</w:t>
      </w:r>
      <w:proofErr w:type="spellEnd"/>
      <w:r w:rsidRPr="00F5689B">
        <w:rPr>
          <w:rFonts w:cs="Arial"/>
        </w:rPr>
        <w:t xml:space="preserve"> </w:t>
      </w:r>
      <w:proofErr w:type="spellStart"/>
      <w:r w:rsidRPr="00F5689B">
        <w:rPr>
          <w:rFonts w:cs="Arial"/>
        </w:rPr>
        <w:t>dalam</w:t>
      </w:r>
      <w:proofErr w:type="spellEnd"/>
      <w:r w:rsidRPr="00F5689B">
        <w:rPr>
          <w:rFonts w:cs="Arial"/>
        </w:rPr>
        <w:t xml:space="preserve"> </w:t>
      </w:r>
      <w:proofErr w:type="spellStart"/>
      <w:r>
        <w:rPr>
          <w:rFonts w:cs="Arial"/>
        </w:rPr>
        <w:t>penelitian</w:t>
      </w:r>
      <w:proofErr w:type="spellEnd"/>
      <w:r w:rsidRPr="00F5689B">
        <w:rPr>
          <w:rFonts w:cs="Arial"/>
        </w:rPr>
        <w:t xml:space="preserve"> </w:t>
      </w:r>
      <w:proofErr w:type="spellStart"/>
      <w:r w:rsidRPr="00F5689B">
        <w:rPr>
          <w:rFonts w:cs="Arial"/>
        </w:rPr>
        <w:t>ini</w:t>
      </w:r>
      <w:proofErr w:type="spellEnd"/>
      <w:r w:rsidRPr="00F5689B">
        <w:rPr>
          <w:rFonts w:cs="Arial"/>
        </w:rPr>
        <w:t xml:space="preserve"> </w:t>
      </w:r>
      <w:proofErr w:type="spellStart"/>
      <w:r>
        <w:rPr>
          <w:rFonts w:cs="Arial"/>
        </w:rPr>
        <w:t>dapat</w:t>
      </w:r>
      <w:proofErr w:type="spellEnd"/>
      <w:r>
        <w:rPr>
          <w:rFonts w:cs="Arial"/>
        </w:rPr>
        <w:t xml:space="preserve"> </w:t>
      </w:r>
      <w:proofErr w:type="spellStart"/>
      <w:r>
        <w:rPr>
          <w:rFonts w:cs="Arial"/>
        </w:rPr>
        <w:t>ditarik</w:t>
      </w:r>
      <w:proofErr w:type="spellEnd"/>
      <w:r>
        <w:rPr>
          <w:rFonts w:cs="Arial"/>
        </w:rPr>
        <w:t xml:space="preserve"> </w:t>
      </w:r>
      <w:proofErr w:type="spellStart"/>
      <w:r>
        <w:rPr>
          <w:rFonts w:cs="Arial"/>
        </w:rPr>
        <w:t>kesimpulan</w:t>
      </w:r>
      <w:proofErr w:type="spellEnd"/>
      <w:r>
        <w:rPr>
          <w:rFonts w:cs="Arial"/>
        </w:rPr>
        <w:t xml:space="preserve"> </w:t>
      </w:r>
      <w:proofErr w:type="spellStart"/>
      <w:r>
        <w:rPr>
          <w:rFonts w:cs="Arial"/>
        </w:rPr>
        <w:t>bahwa</w:t>
      </w:r>
      <w:proofErr w:type="spellEnd"/>
      <w:r>
        <w:rPr>
          <w:rFonts w:cs="Arial"/>
        </w:rPr>
        <w:t xml:space="preserve"> </w:t>
      </w:r>
      <w:proofErr w:type="spellStart"/>
      <w:r>
        <w:rPr>
          <w:rFonts w:cs="Arial"/>
          <w:iCs/>
        </w:rPr>
        <w:t>reputasi</w:t>
      </w:r>
      <w:proofErr w:type="spellEnd"/>
      <w:r>
        <w:rPr>
          <w:rFonts w:cs="Arial"/>
          <w:iCs/>
        </w:rPr>
        <w:t xml:space="preserve"> </w:t>
      </w:r>
      <w:proofErr w:type="spellStart"/>
      <w:r>
        <w:rPr>
          <w:rFonts w:cs="Arial"/>
          <w:iCs/>
        </w:rPr>
        <w:t>perusahaan</w:t>
      </w:r>
      <w:proofErr w:type="spellEnd"/>
      <w:r w:rsidRPr="00F5689B">
        <w:rPr>
          <w:rFonts w:cs="Arial"/>
          <w:i/>
        </w:rPr>
        <w:t xml:space="preserve"> </w:t>
      </w:r>
      <w:proofErr w:type="spellStart"/>
      <w:r w:rsidRPr="00F5689B">
        <w:rPr>
          <w:rFonts w:cs="Arial"/>
        </w:rPr>
        <w:t>berpengaruh</w:t>
      </w:r>
      <w:proofErr w:type="spellEnd"/>
      <w:r w:rsidRPr="00F5689B">
        <w:rPr>
          <w:rFonts w:cs="Arial"/>
        </w:rPr>
        <w:t xml:space="preserve"> </w:t>
      </w:r>
      <w:proofErr w:type="spellStart"/>
      <w:r w:rsidRPr="00F5689B">
        <w:rPr>
          <w:rFonts w:cs="Arial"/>
        </w:rPr>
        <w:t>positif</w:t>
      </w:r>
      <w:proofErr w:type="spellEnd"/>
      <w:r w:rsidRPr="00F5689B">
        <w:rPr>
          <w:rFonts w:cs="Arial"/>
        </w:rPr>
        <w:t xml:space="preserve"> </w:t>
      </w:r>
      <w:proofErr w:type="spellStart"/>
      <w:r w:rsidRPr="00F5689B">
        <w:rPr>
          <w:rFonts w:cs="Arial"/>
        </w:rPr>
        <w:t>namun</w:t>
      </w:r>
      <w:proofErr w:type="spellEnd"/>
      <w:r w:rsidRPr="00F5689B">
        <w:rPr>
          <w:rFonts w:cs="Arial"/>
        </w:rPr>
        <w:t xml:space="preserve"> </w:t>
      </w:r>
      <w:proofErr w:type="spellStart"/>
      <w:r w:rsidRPr="00F5689B">
        <w:rPr>
          <w:rFonts w:cs="Arial"/>
        </w:rPr>
        <w:t>tidak</w:t>
      </w:r>
      <w:proofErr w:type="spellEnd"/>
      <w:r w:rsidRPr="00F5689B">
        <w:rPr>
          <w:rFonts w:cs="Arial"/>
        </w:rPr>
        <w:t xml:space="preserve"> </w:t>
      </w:r>
      <w:proofErr w:type="spellStart"/>
      <w:r w:rsidRPr="00F5689B">
        <w:rPr>
          <w:rFonts w:cs="Arial"/>
        </w:rPr>
        <w:t>signifikan</w:t>
      </w:r>
      <w:proofErr w:type="spellEnd"/>
      <w:r w:rsidRPr="00F5689B">
        <w:rPr>
          <w:rFonts w:cs="Arial"/>
        </w:rPr>
        <w:t xml:space="preserve"> </w:t>
      </w:r>
      <w:proofErr w:type="spellStart"/>
      <w:r w:rsidRPr="00F5689B">
        <w:rPr>
          <w:rFonts w:cs="Arial"/>
        </w:rPr>
        <w:t>terhadap</w:t>
      </w:r>
      <w:proofErr w:type="spellEnd"/>
      <w:r w:rsidRPr="00F5689B">
        <w:rPr>
          <w:rFonts w:cs="Arial"/>
        </w:rPr>
        <w:t xml:space="preserve"> </w:t>
      </w:r>
      <w:r w:rsidRPr="00F5689B">
        <w:rPr>
          <w:rFonts w:cs="Arial"/>
          <w:i/>
        </w:rPr>
        <w:t xml:space="preserve">Quality of CSRD </w:t>
      </w:r>
      <w:r w:rsidRPr="00F5689B">
        <w:rPr>
          <w:rFonts w:cs="Arial"/>
        </w:rPr>
        <w:t xml:space="preserve">pada </w:t>
      </w:r>
      <w:proofErr w:type="spellStart"/>
      <w:r w:rsidRPr="00F5689B">
        <w:rPr>
          <w:rFonts w:cs="Arial"/>
        </w:rPr>
        <w:t>perusahaan</w:t>
      </w:r>
      <w:proofErr w:type="spellEnd"/>
      <w:r w:rsidRPr="00F5689B">
        <w:rPr>
          <w:rFonts w:cs="Arial"/>
        </w:rPr>
        <w:t xml:space="preserve"> </w:t>
      </w:r>
      <w:proofErr w:type="spellStart"/>
      <w:r w:rsidRPr="00F5689B">
        <w:rPr>
          <w:rFonts w:cs="Arial"/>
        </w:rPr>
        <w:t>sektor</w:t>
      </w:r>
      <w:proofErr w:type="spellEnd"/>
      <w:r w:rsidRPr="00F5689B">
        <w:rPr>
          <w:rFonts w:cs="Arial"/>
        </w:rPr>
        <w:t xml:space="preserve"> </w:t>
      </w:r>
      <w:proofErr w:type="spellStart"/>
      <w:r w:rsidRPr="00F5689B">
        <w:rPr>
          <w:rFonts w:cs="Arial"/>
        </w:rPr>
        <w:t>keuangan</w:t>
      </w:r>
      <w:proofErr w:type="spellEnd"/>
      <w:r w:rsidRPr="00F5689B">
        <w:rPr>
          <w:rFonts w:cs="Arial"/>
        </w:rPr>
        <w:t xml:space="preserve"> yang </w:t>
      </w:r>
      <w:proofErr w:type="spellStart"/>
      <w:r w:rsidRPr="00F5689B">
        <w:rPr>
          <w:rFonts w:cs="Arial"/>
        </w:rPr>
        <w:t>terdaftar</w:t>
      </w:r>
      <w:proofErr w:type="spellEnd"/>
      <w:r w:rsidRPr="00F5689B">
        <w:rPr>
          <w:rFonts w:cs="Arial"/>
        </w:rPr>
        <w:t xml:space="preserve"> di Bursa </w:t>
      </w:r>
      <w:proofErr w:type="spellStart"/>
      <w:r w:rsidRPr="00F5689B">
        <w:rPr>
          <w:rFonts w:cs="Arial"/>
        </w:rPr>
        <w:t>Efek</w:t>
      </w:r>
      <w:proofErr w:type="spellEnd"/>
      <w:r w:rsidRPr="00F5689B">
        <w:rPr>
          <w:rFonts w:cs="Arial"/>
        </w:rPr>
        <w:t xml:space="preserve"> Indonesia.</w:t>
      </w:r>
      <w:r>
        <w:rPr>
          <w:rFonts w:cs="Arial"/>
        </w:rPr>
        <w:t xml:space="preserve"> </w:t>
      </w:r>
      <w:proofErr w:type="spellStart"/>
      <w:r>
        <w:rPr>
          <w:rFonts w:cs="Arial"/>
        </w:rPr>
        <w:t>Lebih</w:t>
      </w:r>
      <w:proofErr w:type="spellEnd"/>
      <w:r>
        <w:rPr>
          <w:rFonts w:cs="Arial"/>
        </w:rPr>
        <w:t xml:space="preserve"> </w:t>
      </w:r>
      <w:proofErr w:type="spellStart"/>
      <w:r>
        <w:rPr>
          <w:rFonts w:cs="Arial"/>
        </w:rPr>
        <w:t>lanjut</w:t>
      </w:r>
      <w:proofErr w:type="spellEnd"/>
      <w:r>
        <w:rPr>
          <w:rFonts w:cs="Arial"/>
        </w:rPr>
        <w:t xml:space="preserve">, </w:t>
      </w:r>
      <w:proofErr w:type="spellStart"/>
      <w:r>
        <w:rPr>
          <w:rFonts w:cs="Arial"/>
        </w:rPr>
        <w:t>b</w:t>
      </w:r>
      <w:r w:rsidRPr="00F5689B">
        <w:rPr>
          <w:rFonts w:cs="Arial"/>
        </w:rPr>
        <w:t>esarnya</w:t>
      </w:r>
      <w:proofErr w:type="spellEnd"/>
      <w:r w:rsidRPr="00F5689B">
        <w:rPr>
          <w:rFonts w:cs="Arial"/>
        </w:rPr>
        <w:t xml:space="preserve"> </w:t>
      </w:r>
      <w:proofErr w:type="spellStart"/>
      <w:r w:rsidRPr="00F5689B">
        <w:rPr>
          <w:rFonts w:cs="Arial"/>
        </w:rPr>
        <w:t>biaya</w:t>
      </w:r>
      <w:proofErr w:type="spellEnd"/>
      <w:r w:rsidRPr="00F5689B">
        <w:rPr>
          <w:rFonts w:cs="Arial"/>
        </w:rPr>
        <w:t xml:space="preserve">, </w:t>
      </w:r>
      <w:proofErr w:type="spellStart"/>
      <w:r w:rsidRPr="00F5689B">
        <w:rPr>
          <w:rFonts w:cs="Arial"/>
        </w:rPr>
        <w:t>tidak</w:t>
      </w:r>
      <w:proofErr w:type="spellEnd"/>
      <w:r w:rsidRPr="00F5689B">
        <w:rPr>
          <w:rFonts w:cs="Arial"/>
        </w:rPr>
        <w:t xml:space="preserve"> </w:t>
      </w:r>
      <w:proofErr w:type="spellStart"/>
      <w:r w:rsidRPr="00F5689B">
        <w:rPr>
          <w:rFonts w:cs="Arial"/>
        </w:rPr>
        <w:t>adanya</w:t>
      </w:r>
      <w:proofErr w:type="spellEnd"/>
      <w:r w:rsidRPr="00F5689B">
        <w:rPr>
          <w:rFonts w:cs="Arial"/>
        </w:rPr>
        <w:t xml:space="preserve"> </w:t>
      </w:r>
      <w:proofErr w:type="spellStart"/>
      <w:r w:rsidRPr="00F5689B">
        <w:rPr>
          <w:rFonts w:cs="Arial"/>
        </w:rPr>
        <w:t>aturan</w:t>
      </w:r>
      <w:proofErr w:type="spellEnd"/>
      <w:r w:rsidRPr="00F5689B">
        <w:rPr>
          <w:rFonts w:cs="Arial"/>
        </w:rPr>
        <w:t xml:space="preserve"> </w:t>
      </w:r>
      <w:proofErr w:type="spellStart"/>
      <w:r w:rsidRPr="00F5689B">
        <w:rPr>
          <w:rFonts w:cs="Arial"/>
        </w:rPr>
        <w:t>secara</w:t>
      </w:r>
      <w:proofErr w:type="spellEnd"/>
      <w:r w:rsidRPr="00F5689B">
        <w:rPr>
          <w:rFonts w:cs="Arial"/>
        </w:rPr>
        <w:t xml:space="preserve"> </w:t>
      </w:r>
      <w:proofErr w:type="spellStart"/>
      <w:r w:rsidRPr="00F5689B">
        <w:rPr>
          <w:rFonts w:cs="Arial"/>
        </w:rPr>
        <w:t>konkrit</w:t>
      </w:r>
      <w:proofErr w:type="spellEnd"/>
      <w:r w:rsidRPr="00F5689B">
        <w:rPr>
          <w:rFonts w:cs="Arial"/>
        </w:rPr>
        <w:t xml:space="preserve"> </w:t>
      </w:r>
      <w:proofErr w:type="spellStart"/>
      <w:r w:rsidRPr="00F5689B">
        <w:rPr>
          <w:rFonts w:cs="Arial"/>
        </w:rPr>
        <w:t>mengenai</w:t>
      </w:r>
      <w:proofErr w:type="spellEnd"/>
      <w:r w:rsidRPr="00F5689B">
        <w:rPr>
          <w:rFonts w:cs="Arial"/>
        </w:rPr>
        <w:t xml:space="preserve"> </w:t>
      </w:r>
      <w:proofErr w:type="spellStart"/>
      <w:r w:rsidRPr="00F5689B">
        <w:rPr>
          <w:rFonts w:cs="Arial"/>
        </w:rPr>
        <w:t>konten</w:t>
      </w:r>
      <w:proofErr w:type="spellEnd"/>
      <w:r w:rsidRPr="00F5689B">
        <w:rPr>
          <w:rFonts w:cs="Arial"/>
        </w:rPr>
        <w:t xml:space="preserve"> yang </w:t>
      </w:r>
      <w:proofErr w:type="spellStart"/>
      <w:r w:rsidRPr="00F5689B">
        <w:rPr>
          <w:rFonts w:cs="Arial"/>
        </w:rPr>
        <w:t>harus</w:t>
      </w:r>
      <w:proofErr w:type="spellEnd"/>
      <w:r w:rsidRPr="00F5689B">
        <w:rPr>
          <w:rFonts w:cs="Arial"/>
        </w:rPr>
        <w:t xml:space="preserve"> </w:t>
      </w:r>
      <w:proofErr w:type="spellStart"/>
      <w:r w:rsidRPr="00F5689B">
        <w:rPr>
          <w:rFonts w:cs="Arial"/>
        </w:rPr>
        <w:t>diungkapkan</w:t>
      </w:r>
      <w:proofErr w:type="spellEnd"/>
      <w:r w:rsidRPr="00F5689B">
        <w:rPr>
          <w:rFonts w:cs="Arial"/>
        </w:rPr>
        <w:t xml:space="preserve">, dan </w:t>
      </w:r>
      <w:proofErr w:type="spellStart"/>
      <w:r w:rsidRPr="00F5689B">
        <w:rPr>
          <w:rFonts w:cs="Arial"/>
        </w:rPr>
        <w:t>hadirnya</w:t>
      </w:r>
      <w:proofErr w:type="spellEnd"/>
      <w:r w:rsidRPr="00F5689B">
        <w:rPr>
          <w:rFonts w:cs="Arial"/>
        </w:rPr>
        <w:t xml:space="preserve"> media </w:t>
      </w:r>
      <w:proofErr w:type="spellStart"/>
      <w:r w:rsidRPr="00F5689B">
        <w:rPr>
          <w:rFonts w:cs="Arial"/>
        </w:rPr>
        <w:t>sebagai</w:t>
      </w:r>
      <w:proofErr w:type="spellEnd"/>
      <w:r w:rsidRPr="00F5689B">
        <w:rPr>
          <w:rFonts w:cs="Arial"/>
        </w:rPr>
        <w:t xml:space="preserve"> </w:t>
      </w:r>
      <w:proofErr w:type="spellStart"/>
      <w:r w:rsidRPr="00F5689B">
        <w:rPr>
          <w:rFonts w:cs="Arial"/>
        </w:rPr>
        <w:t>sarana</w:t>
      </w:r>
      <w:proofErr w:type="spellEnd"/>
      <w:r w:rsidRPr="00F5689B">
        <w:rPr>
          <w:rFonts w:cs="Arial"/>
        </w:rPr>
        <w:t xml:space="preserve"> yang </w:t>
      </w:r>
      <w:proofErr w:type="spellStart"/>
      <w:r w:rsidRPr="00F5689B">
        <w:rPr>
          <w:rFonts w:cs="Arial"/>
        </w:rPr>
        <w:t>lebih</w:t>
      </w:r>
      <w:proofErr w:type="spellEnd"/>
      <w:r w:rsidRPr="00F5689B">
        <w:rPr>
          <w:rFonts w:cs="Arial"/>
        </w:rPr>
        <w:t xml:space="preserve"> </w:t>
      </w:r>
      <w:proofErr w:type="spellStart"/>
      <w:r w:rsidRPr="00F5689B">
        <w:rPr>
          <w:rFonts w:cs="Arial"/>
        </w:rPr>
        <w:t>efektif</w:t>
      </w:r>
      <w:proofErr w:type="spellEnd"/>
      <w:r w:rsidRPr="00F5689B">
        <w:rPr>
          <w:rFonts w:cs="Arial"/>
        </w:rPr>
        <w:t xml:space="preserve"> dan </w:t>
      </w:r>
      <w:proofErr w:type="spellStart"/>
      <w:r w:rsidRPr="00F5689B">
        <w:rPr>
          <w:rFonts w:cs="Arial"/>
        </w:rPr>
        <w:t>efesien</w:t>
      </w:r>
      <w:proofErr w:type="spellEnd"/>
      <w:r w:rsidRPr="00F5689B">
        <w:rPr>
          <w:rFonts w:cs="Arial"/>
        </w:rPr>
        <w:t xml:space="preserve"> </w:t>
      </w:r>
      <w:proofErr w:type="spellStart"/>
      <w:r w:rsidRPr="00F5689B">
        <w:rPr>
          <w:rFonts w:cs="Arial"/>
        </w:rPr>
        <w:t>untuk</w:t>
      </w:r>
      <w:proofErr w:type="spellEnd"/>
      <w:r w:rsidRPr="00F5689B">
        <w:rPr>
          <w:rFonts w:cs="Arial"/>
        </w:rPr>
        <w:t xml:space="preserve"> </w:t>
      </w:r>
      <w:proofErr w:type="spellStart"/>
      <w:r w:rsidRPr="00F5689B">
        <w:rPr>
          <w:rFonts w:cs="Arial"/>
        </w:rPr>
        <w:t>mengungkapkan</w:t>
      </w:r>
      <w:proofErr w:type="spellEnd"/>
      <w:r w:rsidRPr="00F5689B">
        <w:rPr>
          <w:rFonts w:cs="Arial"/>
        </w:rPr>
        <w:t xml:space="preserve"> </w:t>
      </w:r>
      <w:proofErr w:type="spellStart"/>
      <w:r w:rsidRPr="00F5689B">
        <w:rPr>
          <w:rFonts w:cs="Arial"/>
        </w:rPr>
        <w:t>aktivitas</w:t>
      </w:r>
      <w:proofErr w:type="spellEnd"/>
      <w:r w:rsidRPr="00F5689B">
        <w:rPr>
          <w:rFonts w:cs="Arial"/>
        </w:rPr>
        <w:t xml:space="preserve"> CSR </w:t>
      </w:r>
      <w:proofErr w:type="spellStart"/>
      <w:r w:rsidRPr="00F5689B">
        <w:rPr>
          <w:rFonts w:cs="Arial"/>
        </w:rPr>
        <w:t>perusahaan</w:t>
      </w:r>
      <w:proofErr w:type="spellEnd"/>
      <w:r w:rsidRPr="00F5689B">
        <w:rPr>
          <w:rFonts w:cs="Arial"/>
        </w:rPr>
        <w:t xml:space="preserve"> </w:t>
      </w:r>
      <w:proofErr w:type="spellStart"/>
      <w:r w:rsidRPr="00F5689B">
        <w:rPr>
          <w:rFonts w:cs="Arial"/>
        </w:rPr>
        <w:t>adalah</w:t>
      </w:r>
      <w:proofErr w:type="spellEnd"/>
      <w:r w:rsidRPr="00F5689B">
        <w:rPr>
          <w:rFonts w:cs="Arial"/>
        </w:rPr>
        <w:t xml:space="preserve"> </w:t>
      </w:r>
      <w:proofErr w:type="spellStart"/>
      <w:r w:rsidRPr="00F5689B">
        <w:rPr>
          <w:rFonts w:cs="Arial"/>
        </w:rPr>
        <w:t>jawaban</w:t>
      </w:r>
      <w:proofErr w:type="spellEnd"/>
      <w:r w:rsidRPr="00F5689B">
        <w:rPr>
          <w:rFonts w:cs="Arial"/>
        </w:rPr>
        <w:t xml:space="preserve"> </w:t>
      </w:r>
      <w:proofErr w:type="spellStart"/>
      <w:r w:rsidRPr="00F5689B">
        <w:rPr>
          <w:rFonts w:cs="Arial"/>
        </w:rPr>
        <w:t>dari</w:t>
      </w:r>
      <w:proofErr w:type="spellEnd"/>
      <w:r w:rsidRPr="00F5689B">
        <w:rPr>
          <w:rFonts w:cs="Arial"/>
        </w:rPr>
        <w:t xml:space="preserve"> </w:t>
      </w:r>
      <w:proofErr w:type="spellStart"/>
      <w:r w:rsidRPr="00F5689B">
        <w:rPr>
          <w:rFonts w:cs="Arial"/>
        </w:rPr>
        <w:t>hasil</w:t>
      </w:r>
      <w:proofErr w:type="spellEnd"/>
      <w:r w:rsidRPr="00F5689B">
        <w:rPr>
          <w:rFonts w:cs="Arial"/>
        </w:rPr>
        <w:t xml:space="preserve"> </w:t>
      </w:r>
      <w:proofErr w:type="spellStart"/>
      <w:r w:rsidRPr="00F5689B">
        <w:rPr>
          <w:rFonts w:cs="Arial"/>
        </w:rPr>
        <w:t>penelitian</w:t>
      </w:r>
      <w:proofErr w:type="spellEnd"/>
      <w:r w:rsidRPr="00F5689B">
        <w:rPr>
          <w:rFonts w:cs="Arial"/>
        </w:rPr>
        <w:t xml:space="preserve"> </w:t>
      </w:r>
      <w:proofErr w:type="spellStart"/>
      <w:r w:rsidRPr="00F5689B">
        <w:rPr>
          <w:rFonts w:cs="Arial"/>
        </w:rPr>
        <w:t>ini</w:t>
      </w:r>
      <w:proofErr w:type="spellEnd"/>
      <w:r w:rsidRPr="00F5689B">
        <w:rPr>
          <w:rFonts w:cs="Arial"/>
          <w:i/>
        </w:rPr>
        <w:t>.</w:t>
      </w:r>
    </w:p>
    <w:p w14:paraId="05074DDF" w14:textId="77777777" w:rsidR="00F5689B" w:rsidRDefault="00F5689B" w:rsidP="00F5689B">
      <w:pPr>
        <w:ind w:left="284"/>
        <w:jc w:val="both"/>
        <w:rPr>
          <w:rFonts w:cs="Arial"/>
        </w:rPr>
      </w:pPr>
      <w:r>
        <w:rPr>
          <w:rFonts w:cs="Arial"/>
        </w:rPr>
        <w:tab/>
      </w:r>
      <w:proofErr w:type="spellStart"/>
      <w:r>
        <w:rPr>
          <w:rFonts w:cs="Arial"/>
        </w:rPr>
        <w:t>Selanjutnya</w:t>
      </w:r>
      <w:proofErr w:type="spellEnd"/>
      <w:r>
        <w:rPr>
          <w:rFonts w:cs="Arial"/>
        </w:rPr>
        <w:t xml:space="preserve">, Adapun </w:t>
      </w:r>
      <w:proofErr w:type="spellStart"/>
      <w:r>
        <w:rPr>
          <w:rFonts w:cs="Arial"/>
        </w:rPr>
        <w:t>beberapa</w:t>
      </w:r>
      <w:proofErr w:type="spellEnd"/>
      <w:r>
        <w:rPr>
          <w:rFonts w:cs="Arial"/>
        </w:rPr>
        <w:t xml:space="preserve"> saran </w:t>
      </w:r>
      <w:proofErr w:type="spellStart"/>
      <w:r>
        <w:rPr>
          <w:rFonts w:cs="Arial"/>
        </w:rPr>
        <w:t>untuk</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selanjutnya</w:t>
      </w:r>
      <w:proofErr w:type="spellEnd"/>
      <w:r>
        <w:rPr>
          <w:rFonts w:cs="Arial"/>
        </w:rPr>
        <w:t xml:space="preserve"> </w:t>
      </w:r>
      <w:proofErr w:type="spellStart"/>
      <w:r>
        <w:rPr>
          <w:rFonts w:cs="Arial"/>
        </w:rPr>
        <w:t>yaitu</w:t>
      </w:r>
      <w:proofErr w:type="spellEnd"/>
      <w:r>
        <w:rPr>
          <w:rFonts w:cs="Arial"/>
        </w:rPr>
        <w:t xml:space="preserve"> </w:t>
      </w:r>
      <w:proofErr w:type="spellStart"/>
      <w:r>
        <w:rPr>
          <w:rFonts w:cs="Arial"/>
        </w:rPr>
        <w:t>p</w:t>
      </w:r>
      <w:r w:rsidRPr="00F5689B">
        <w:rPr>
          <w:rFonts w:cs="Arial"/>
        </w:rPr>
        <w:t>eneliti</w:t>
      </w:r>
      <w:proofErr w:type="spellEnd"/>
      <w:r w:rsidRPr="00F5689B">
        <w:rPr>
          <w:rFonts w:cs="Arial"/>
        </w:rPr>
        <w:t xml:space="preserve"> </w:t>
      </w:r>
      <w:proofErr w:type="spellStart"/>
      <w:r w:rsidRPr="00F5689B">
        <w:rPr>
          <w:rFonts w:cs="Arial"/>
        </w:rPr>
        <w:t>menganggap</w:t>
      </w:r>
      <w:proofErr w:type="spellEnd"/>
      <w:r w:rsidRPr="00F5689B">
        <w:rPr>
          <w:rFonts w:cs="Arial"/>
        </w:rPr>
        <w:t xml:space="preserve"> </w:t>
      </w:r>
      <w:proofErr w:type="spellStart"/>
      <w:r w:rsidRPr="00F5689B">
        <w:rPr>
          <w:rFonts w:cs="Arial"/>
        </w:rPr>
        <w:t>penggunaan</w:t>
      </w:r>
      <w:proofErr w:type="spellEnd"/>
      <w:r w:rsidRPr="00F5689B">
        <w:rPr>
          <w:rFonts w:cs="Arial"/>
        </w:rPr>
        <w:t xml:space="preserve"> </w:t>
      </w:r>
      <w:proofErr w:type="spellStart"/>
      <w:r w:rsidRPr="00F5689B">
        <w:rPr>
          <w:rFonts w:cs="Arial"/>
        </w:rPr>
        <w:t>indeks</w:t>
      </w:r>
      <w:proofErr w:type="spellEnd"/>
      <w:r w:rsidRPr="00F5689B">
        <w:rPr>
          <w:rFonts w:cs="Arial"/>
        </w:rPr>
        <w:t xml:space="preserve"> </w:t>
      </w:r>
      <w:r w:rsidRPr="00F5689B">
        <w:rPr>
          <w:rFonts w:cs="Arial"/>
          <w:i/>
        </w:rPr>
        <w:t>Quality of</w:t>
      </w:r>
      <w:r w:rsidRPr="00F5689B">
        <w:rPr>
          <w:rFonts w:cs="Arial"/>
        </w:rPr>
        <w:t xml:space="preserve"> CSR </w:t>
      </w:r>
      <w:proofErr w:type="spellStart"/>
      <w:r w:rsidRPr="00F5689B">
        <w:rPr>
          <w:rFonts w:cs="Arial"/>
        </w:rPr>
        <w:t>masih</w:t>
      </w:r>
      <w:proofErr w:type="spellEnd"/>
      <w:r w:rsidRPr="00F5689B">
        <w:rPr>
          <w:rFonts w:cs="Arial"/>
        </w:rPr>
        <w:t xml:space="preserve"> </w:t>
      </w:r>
      <w:proofErr w:type="spellStart"/>
      <w:r w:rsidRPr="00F5689B">
        <w:rPr>
          <w:rFonts w:cs="Arial"/>
        </w:rPr>
        <w:t>memilki</w:t>
      </w:r>
      <w:proofErr w:type="spellEnd"/>
      <w:r w:rsidRPr="00F5689B">
        <w:rPr>
          <w:rFonts w:cs="Arial"/>
        </w:rPr>
        <w:t xml:space="preserve"> </w:t>
      </w:r>
      <w:proofErr w:type="spellStart"/>
      <w:r w:rsidRPr="00F5689B">
        <w:rPr>
          <w:rFonts w:cs="Arial"/>
        </w:rPr>
        <w:t>unsur</w:t>
      </w:r>
      <w:proofErr w:type="spellEnd"/>
      <w:r w:rsidRPr="00F5689B">
        <w:rPr>
          <w:rFonts w:cs="Arial"/>
        </w:rPr>
        <w:t xml:space="preserve"> </w:t>
      </w:r>
      <w:proofErr w:type="spellStart"/>
      <w:r w:rsidRPr="00F5689B">
        <w:rPr>
          <w:rFonts w:cs="Arial"/>
        </w:rPr>
        <w:t>subjektivitas</w:t>
      </w:r>
      <w:proofErr w:type="spellEnd"/>
      <w:r w:rsidRPr="00F5689B">
        <w:rPr>
          <w:rFonts w:cs="Arial"/>
        </w:rPr>
        <w:t xml:space="preserve"> yang </w:t>
      </w:r>
      <w:proofErr w:type="spellStart"/>
      <w:r w:rsidRPr="00F5689B">
        <w:rPr>
          <w:rFonts w:cs="Arial"/>
        </w:rPr>
        <w:t>tinggi</w:t>
      </w:r>
      <w:proofErr w:type="spellEnd"/>
      <w:r w:rsidRPr="00F5689B">
        <w:rPr>
          <w:rFonts w:cs="Arial"/>
        </w:rPr>
        <w:t xml:space="preserve"> </w:t>
      </w:r>
      <w:proofErr w:type="spellStart"/>
      <w:r w:rsidRPr="00F5689B">
        <w:rPr>
          <w:rFonts w:cs="Arial"/>
        </w:rPr>
        <w:t>walaupun</w:t>
      </w:r>
      <w:proofErr w:type="spellEnd"/>
      <w:r w:rsidRPr="00F5689B">
        <w:rPr>
          <w:rFonts w:cs="Arial"/>
        </w:rPr>
        <w:t xml:space="preserve"> </w:t>
      </w:r>
      <w:proofErr w:type="spellStart"/>
      <w:r w:rsidRPr="00F5689B">
        <w:rPr>
          <w:rFonts w:cs="Arial"/>
        </w:rPr>
        <w:t>telah</w:t>
      </w:r>
      <w:proofErr w:type="spellEnd"/>
      <w:r w:rsidRPr="00F5689B">
        <w:rPr>
          <w:rFonts w:cs="Arial"/>
        </w:rPr>
        <w:t xml:space="preserve"> </w:t>
      </w:r>
      <w:proofErr w:type="spellStart"/>
      <w:r w:rsidRPr="00F5689B">
        <w:rPr>
          <w:rFonts w:cs="Arial"/>
        </w:rPr>
        <w:t>menggunakan</w:t>
      </w:r>
      <w:proofErr w:type="spellEnd"/>
      <w:r w:rsidRPr="00F5689B">
        <w:rPr>
          <w:rFonts w:cs="Arial"/>
        </w:rPr>
        <w:t xml:space="preserve"> </w:t>
      </w:r>
      <w:r w:rsidRPr="00F5689B">
        <w:rPr>
          <w:rFonts w:cs="Arial"/>
          <w:i/>
        </w:rPr>
        <w:t>pilot-test</w:t>
      </w:r>
      <w:r w:rsidRPr="00F5689B">
        <w:rPr>
          <w:rFonts w:cs="Arial"/>
        </w:rPr>
        <w:t xml:space="preserve">, </w:t>
      </w:r>
      <w:proofErr w:type="spellStart"/>
      <w:r w:rsidRPr="00F5689B">
        <w:rPr>
          <w:rFonts w:cs="Arial"/>
        </w:rPr>
        <w:t>Diharapkan</w:t>
      </w:r>
      <w:proofErr w:type="spellEnd"/>
      <w:r w:rsidRPr="00F5689B">
        <w:rPr>
          <w:rFonts w:cs="Arial"/>
        </w:rPr>
        <w:t xml:space="preserve"> pada </w:t>
      </w:r>
      <w:proofErr w:type="spellStart"/>
      <w:r w:rsidRPr="00F5689B">
        <w:rPr>
          <w:rFonts w:cs="Arial"/>
        </w:rPr>
        <w:t>penelitian</w:t>
      </w:r>
      <w:proofErr w:type="spellEnd"/>
      <w:r w:rsidRPr="00F5689B">
        <w:rPr>
          <w:rFonts w:cs="Arial"/>
        </w:rPr>
        <w:t xml:space="preserve"> </w:t>
      </w:r>
      <w:proofErr w:type="spellStart"/>
      <w:r w:rsidRPr="00F5689B">
        <w:rPr>
          <w:rFonts w:cs="Arial"/>
        </w:rPr>
        <w:t>selanjutnya</w:t>
      </w:r>
      <w:proofErr w:type="spellEnd"/>
      <w:r w:rsidRPr="00F5689B">
        <w:rPr>
          <w:rFonts w:cs="Arial"/>
        </w:rPr>
        <w:t xml:space="preserve"> </w:t>
      </w:r>
      <w:proofErr w:type="spellStart"/>
      <w:r w:rsidRPr="00F5689B">
        <w:rPr>
          <w:rFonts w:cs="Arial"/>
        </w:rPr>
        <w:t>untuk</w:t>
      </w:r>
      <w:proofErr w:type="spellEnd"/>
      <w:r w:rsidRPr="00F5689B">
        <w:rPr>
          <w:rFonts w:cs="Arial"/>
        </w:rPr>
        <w:t xml:space="preserve"> </w:t>
      </w:r>
      <w:proofErr w:type="spellStart"/>
      <w:r w:rsidRPr="00F5689B">
        <w:rPr>
          <w:rFonts w:cs="Arial"/>
        </w:rPr>
        <w:t>melakukan</w:t>
      </w:r>
      <w:proofErr w:type="spellEnd"/>
      <w:r w:rsidRPr="00F5689B">
        <w:rPr>
          <w:rFonts w:cs="Arial"/>
        </w:rPr>
        <w:t xml:space="preserve"> </w:t>
      </w:r>
      <w:r w:rsidRPr="00F5689B">
        <w:rPr>
          <w:rFonts w:cs="Arial"/>
          <w:i/>
        </w:rPr>
        <w:t>pilot-test</w:t>
      </w:r>
      <w:r>
        <w:rPr>
          <w:rFonts w:cs="Arial"/>
          <w:i/>
        </w:rPr>
        <w:t xml:space="preserve"> </w:t>
      </w:r>
      <w:r w:rsidRPr="00F5689B">
        <w:rPr>
          <w:rFonts w:cs="Arial"/>
        </w:rPr>
        <w:t xml:space="preserve">yang </w:t>
      </w:r>
      <w:proofErr w:type="spellStart"/>
      <w:r w:rsidRPr="00F5689B">
        <w:rPr>
          <w:rFonts w:cs="Arial"/>
        </w:rPr>
        <w:t>lebih</w:t>
      </w:r>
      <w:proofErr w:type="spellEnd"/>
      <w:r w:rsidRPr="00F5689B">
        <w:rPr>
          <w:rFonts w:cs="Arial"/>
        </w:rPr>
        <w:t xml:space="preserve"> </w:t>
      </w:r>
      <w:proofErr w:type="spellStart"/>
      <w:r w:rsidRPr="00F5689B">
        <w:rPr>
          <w:rFonts w:cs="Arial"/>
        </w:rPr>
        <w:t>luas</w:t>
      </w:r>
      <w:proofErr w:type="spellEnd"/>
      <w:r w:rsidRPr="00F5689B">
        <w:rPr>
          <w:rFonts w:cs="Arial"/>
        </w:rPr>
        <w:t>.</w:t>
      </w:r>
      <w:r>
        <w:rPr>
          <w:rFonts w:cs="Arial"/>
        </w:rPr>
        <w:t xml:space="preserve"> </w:t>
      </w:r>
      <w:proofErr w:type="spellStart"/>
      <w:r w:rsidRPr="00F5689B">
        <w:rPr>
          <w:rFonts w:cs="Arial"/>
        </w:rPr>
        <w:t>Penilaian</w:t>
      </w:r>
      <w:proofErr w:type="spellEnd"/>
      <w:r w:rsidRPr="00F5689B">
        <w:rPr>
          <w:rFonts w:cs="Arial"/>
        </w:rPr>
        <w:t xml:space="preserve"> </w:t>
      </w:r>
      <w:proofErr w:type="spellStart"/>
      <w:r w:rsidRPr="00F5689B">
        <w:rPr>
          <w:rFonts w:cs="Arial"/>
        </w:rPr>
        <w:t>atas</w:t>
      </w:r>
      <w:proofErr w:type="spellEnd"/>
      <w:r w:rsidRPr="00F5689B">
        <w:rPr>
          <w:rFonts w:cs="Arial"/>
        </w:rPr>
        <w:t xml:space="preserve"> </w:t>
      </w:r>
      <w:proofErr w:type="spellStart"/>
      <w:r w:rsidRPr="00F5689B">
        <w:rPr>
          <w:rFonts w:cs="Arial"/>
        </w:rPr>
        <w:t>informasi</w:t>
      </w:r>
      <w:proofErr w:type="spellEnd"/>
      <w:r w:rsidRPr="00F5689B">
        <w:rPr>
          <w:rFonts w:cs="Arial"/>
        </w:rPr>
        <w:t xml:space="preserve"> </w:t>
      </w:r>
      <w:proofErr w:type="spellStart"/>
      <w:r w:rsidRPr="00F5689B">
        <w:rPr>
          <w:rFonts w:cs="Arial"/>
        </w:rPr>
        <w:t>aktivitas</w:t>
      </w:r>
      <w:proofErr w:type="spellEnd"/>
      <w:r w:rsidRPr="00F5689B">
        <w:rPr>
          <w:rFonts w:cs="Arial"/>
        </w:rPr>
        <w:t xml:space="preserve"> CSR yang </w:t>
      </w:r>
      <w:proofErr w:type="spellStart"/>
      <w:r w:rsidRPr="00F5689B">
        <w:rPr>
          <w:rFonts w:cs="Arial"/>
        </w:rPr>
        <w:t>memanfaatkan</w:t>
      </w:r>
      <w:proofErr w:type="spellEnd"/>
      <w:r w:rsidRPr="00F5689B">
        <w:rPr>
          <w:rFonts w:cs="Arial"/>
        </w:rPr>
        <w:t xml:space="preserve"> media </w:t>
      </w:r>
      <w:proofErr w:type="spellStart"/>
      <w:r w:rsidRPr="00F5689B">
        <w:rPr>
          <w:rFonts w:cs="Arial"/>
        </w:rPr>
        <w:t>tidak</w:t>
      </w:r>
      <w:proofErr w:type="spellEnd"/>
      <w:r w:rsidRPr="00F5689B">
        <w:rPr>
          <w:rFonts w:cs="Arial"/>
        </w:rPr>
        <w:t xml:space="preserve"> </w:t>
      </w:r>
      <w:proofErr w:type="spellStart"/>
      <w:r w:rsidRPr="00F5689B">
        <w:rPr>
          <w:rFonts w:cs="Arial"/>
        </w:rPr>
        <w:t>diukur</w:t>
      </w:r>
      <w:proofErr w:type="spellEnd"/>
      <w:r w:rsidRPr="00F5689B">
        <w:rPr>
          <w:rFonts w:cs="Arial"/>
        </w:rPr>
        <w:t xml:space="preserve"> </w:t>
      </w:r>
      <w:proofErr w:type="spellStart"/>
      <w:r w:rsidRPr="00F5689B">
        <w:rPr>
          <w:rFonts w:cs="Arial"/>
        </w:rPr>
        <w:t>dalam</w:t>
      </w:r>
      <w:proofErr w:type="spellEnd"/>
      <w:r w:rsidRPr="00F5689B">
        <w:rPr>
          <w:rFonts w:cs="Arial"/>
        </w:rPr>
        <w:t xml:space="preserve"> </w:t>
      </w:r>
      <w:proofErr w:type="spellStart"/>
      <w:r w:rsidRPr="00F5689B">
        <w:rPr>
          <w:rFonts w:cs="Arial"/>
        </w:rPr>
        <w:t>penelitian</w:t>
      </w:r>
      <w:proofErr w:type="spellEnd"/>
      <w:r w:rsidRPr="00F5689B">
        <w:rPr>
          <w:rFonts w:cs="Arial"/>
        </w:rPr>
        <w:t xml:space="preserve"> </w:t>
      </w:r>
      <w:proofErr w:type="spellStart"/>
      <w:r w:rsidRPr="00F5689B">
        <w:rPr>
          <w:rFonts w:cs="Arial"/>
        </w:rPr>
        <w:t>ini</w:t>
      </w:r>
      <w:proofErr w:type="spellEnd"/>
      <w:r w:rsidRPr="00F5689B">
        <w:rPr>
          <w:rFonts w:cs="Arial"/>
        </w:rPr>
        <w:t xml:space="preserve">. </w:t>
      </w:r>
      <w:proofErr w:type="spellStart"/>
      <w:r w:rsidRPr="00F5689B">
        <w:rPr>
          <w:rFonts w:cs="Arial"/>
        </w:rPr>
        <w:t>Pengembangan</w:t>
      </w:r>
      <w:proofErr w:type="spellEnd"/>
      <w:r w:rsidRPr="00F5689B">
        <w:rPr>
          <w:rFonts w:cs="Arial"/>
        </w:rPr>
        <w:t xml:space="preserve"> </w:t>
      </w:r>
      <w:proofErr w:type="spellStart"/>
      <w:r w:rsidRPr="00F5689B">
        <w:rPr>
          <w:rFonts w:cs="Arial"/>
        </w:rPr>
        <w:t>indeks</w:t>
      </w:r>
      <w:proofErr w:type="spellEnd"/>
      <w:r w:rsidRPr="00F5689B">
        <w:rPr>
          <w:rFonts w:cs="Arial"/>
        </w:rPr>
        <w:t xml:space="preserve"> yang </w:t>
      </w:r>
      <w:proofErr w:type="spellStart"/>
      <w:r w:rsidRPr="00F5689B">
        <w:rPr>
          <w:rFonts w:cs="Arial"/>
        </w:rPr>
        <w:t>lebih</w:t>
      </w:r>
      <w:proofErr w:type="spellEnd"/>
      <w:r w:rsidRPr="00F5689B">
        <w:rPr>
          <w:rFonts w:cs="Arial"/>
        </w:rPr>
        <w:t xml:space="preserve"> </w:t>
      </w:r>
      <w:proofErr w:type="spellStart"/>
      <w:r w:rsidRPr="00F5689B">
        <w:rPr>
          <w:rFonts w:cs="Arial"/>
        </w:rPr>
        <w:t>fleksibel</w:t>
      </w:r>
      <w:proofErr w:type="spellEnd"/>
      <w:r w:rsidRPr="00F5689B">
        <w:rPr>
          <w:rFonts w:cs="Arial"/>
        </w:rPr>
        <w:t xml:space="preserve"> </w:t>
      </w:r>
      <w:proofErr w:type="spellStart"/>
      <w:r w:rsidRPr="00F5689B">
        <w:rPr>
          <w:rFonts w:cs="Arial"/>
        </w:rPr>
        <w:t>dibutuhkan</w:t>
      </w:r>
      <w:proofErr w:type="spellEnd"/>
      <w:r w:rsidRPr="00F5689B">
        <w:rPr>
          <w:rFonts w:cs="Arial"/>
        </w:rPr>
        <w:t xml:space="preserve"> agar </w:t>
      </w:r>
      <w:proofErr w:type="spellStart"/>
      <w:r w:rsidRPr="00F5689B">
        <w:rPr>
          <w:rFonts w:cs="Arial"/>
        </w:rPr>
        <w:t>dapat</w:t>
      </w:r>
      <w:proofErr w:type="spellEnd"/>
      <w:r w:rsidRPr="00F5689B">
        <w:rPr>
          <w:rFonts w:cs="Arial"/>
        </w:rPr>
        <w:t xml:space="preserve"> </w:t>
      </w:r>
      <w:proofErr w:type="spellStart"/>
      <w:r w:rsidRPr="00F5689B">
        <w:rPr>
          <w:rFonts w:cs="Arial"/>
        </w:rPr>
        <w:t>mengukur</w:t>
      </w:r>
      <w:proofErr w:type="spellEnd"/>
      <w:r w:rsidRPr="00F5689B">
        <w:rPr>
          <w:rFonts w:cs="Arial"/>
        </w:rPr>
        <w:t xml:space="preserve"> </w:t>
      </w:r>
      <w:proofErr w:type="spellStart"/>
      <w:r w:rsidRPr="00F5689B">
        <w:rPr>
          <w:rFonts w:cs="Arial"/>
        </w:rPr>
        <w:t>segala</w:t>
      </w:r>
      <w:proofErr w:type="spellEnd"/>
      <w:r w:rsidRPr="00F5689B">
        <w:rPr>
          <w:rFonts w:cs="Arial"/>
        </w:rPr>
        <w:t xml:space="preserve"> </w:t>
      </w:r>
      <w:proofErr w:type="spellStart"/>
      <w:r w:rsidRPr="00F5689B">
        <w:rPr>
          <w:rFonts w:cs="Arial"/>
        </w:rPr>
        <w:t>jenis</w:t>
      </w:r>
      <w:proofErr w:type="spellEnd"/>
      <w:r w:rsidRPr="00F5689B">
        <w:rPr>
          <w:rFonts w:cs="Arial"/>
        </w:rPr>
        <w:t xml:space="preserve"> </w:t>
      </w:r>
      <w:proofErr w:type="spellStart"/>
      <w:r w:rsidRPr="00F5689B">
        <w:rPr>
          <w:rFonts w:cs="Arial"/>
        </w:rPr>
        <w:t>pengungkapan</w:t>
      </w:r>
      <w:proofErr w:type="spellEnd"/>
      <w:r w:rsidRPr="00F5689B">
        <w:rPr>
          <w:rFonts w:cs="Arial"/>
        </w:rPr>
        <w:t xml:space="preserve"> </w:t>
      </w:r>
      <w:proofErr w:type="spellStart"/>
      <w:r w:rsidRPr="00F5689B">
        <w:rPr>
          <w:rFonts w:cs="Arial"/>
        </w:rPr>
        <w:t>baik</w:t>
      </w:r>
      <w:proofErr w:type="spellEnd"/>
      <w:r w:rsidRPr="00F5689B">
        <w:rPr>
          <w:rFonts w:cs="Arial"/>
        </w:rPr>
        <w:t xml:space="preserve"> </w:t>
      </w:r>
      <w:proofErr w:type="spellStart"/>
      <w:r w:rsidRPr="00F5689B">
        <w:rPr>
          <w:rFonts w:cs="Arial"/>
        </w:rPr>
        <w:t>itu</w:t>
      </w:r>
      <w:proofErr w:type="spellEnd"/>
      <w:r w:rsidRPr="00F5689B">
        <w:rPr>
          <w:rFonts w:cs="Arial"/>
        </w:rPr>
        <w:t xml:space="preserve"> formal </w:t>
      </w:r>
      <w:proofErr w:type="spellStart"/>
      <w:r w:rsidRPr="00F5689B">
        <w:rPr>
          <w:rFonts w:cs="Arial"/>
        </w:rPr>
        <w:t>maupun</w:t>
      </w:r>
      <w:proofErr w:type="spellEnd"/>
      <w:r w:rsidRPr="00F5689B">
        <w:rPr>
          <w:rFonts w:cs="Arial"/>
        </w:rPr>
        <w:t xml:space="preserve"> non-formal.</w:t>
      </w:r>
      <w:r>
        <w:rPr>
          <w:rFonts w:cs="Arial"/>
        </w:rPr>
        <w:t xml:space="preserve"> </w:t>
      </w:r>
      <w:proofErr w:type="spellStart"/>
      <w:r w:rsidRPr="00F5689B">
        <w:rPr>
          <w:rFonts w:cs="Arial"/>
        </w:rPr>
        <w:t>Sampel</w:t>
      </w:r>
      <w:proofErr w:type="spellEnd"/>
      <w:r w:rsidRPr="00F5689B">
        <w:rPr>
          <w:rFonts w:cs="Arial"/>
        </w:rPr>
        <w:t xml:space="preserve"> yang </w:t>
      </w:r>
      <w:proofErr w:type="spellStart"/>
      <w:r w:rsidRPr="00F5689B">
        <w:rPr>
          <w:rFonts w:cs="Arial"/>
        </w:rPr>
        <w:t>digunakan</w:t>
      </w:r>
      <w:proofErr w:type="spellEnd"/>
      <w:r w:rsidRPr="00F5689B">
        <w:rPr>
          <w:rFonts w:cs="Arial"/>
        </w:rPr>
        <w:t xml:space="preserve"> pada </w:t>
      </w:r>
      <w:proofErr w:type="spellStart"/>
      <w:r w:rsidRPr="00F5689B">
        <w:rPr>
          <w:rFonts w:cs="Arial"/>
        </w:rPr>
        <w:t>penelitian</w:t>
      </w:r>
      <w:proofErr w:type="spellEnd"/>
      <w:r w:rsidRPr="00F5689B">
        <w:rPr>
          <w:rFonts w:cs="Arial"/>
        </w:rPr>
        <w:t xml:space="preserve"> </w:t>
      </w:r>
      <w:proofErr w:type="spellStart"/>
      <w:r w:rsidRPr="00F5689B">
        <w:rPr>
          <w:rFonts w:cs="Arial"/>
        </w:rPr>
        <w:t>ini</w:t>
      </w:r>
      <w:proofErr w:type="spellEnd"/>
      <w:r w:rsidRPr="00F5689B">
        <w:rPr>
          <w:rFonts w:cs="Arial"/>
        </w:rPr>
        <w:t xml:space="preserve"> </w:t>
      </w:r>
      <w:proofErr w:type="spellStart"/>
      <w:r w:rsidRPr="00F5689B">
        <w:rPr>
          <w:rFonts w:cs="Arial"/>
        </w:rPr>
        <w:t>adalah</w:t>
      </w:r>
      <w:proofErr w:type="spellEnd"/>
      <w:r w:rsidRPr="00F5689B">
        <w:rPr>
          <w:rFonts w:cs="Arial"/>
        </w:rPr>
        <w:t xml:space="preserve"> </w:t>
      </w:r>
      <w:proofErr w:type="spellStart"/>
      <w:r w:rsidRPr="00F5689B">
        <w:rPr>
          <w:rFonts w:cs="Arial"/>
        </w:rPr>
        <w:t>perusahaan</w:t>
      </w:r>
      <w:proofErr w:type="spellEnd"/>
      <w:r w:rsidRPr="00F5689B">
        <w:rPr>
          <w:rFonts w:cs="Arial"/>
        </w:rPr>
        <w:t xml:space="preserve"> </w:t>
      </w:r>
      <w:proofErr w:type="spellStart"/>
      <w:r w:rsidRPr="00F5689B">
        <w:rPr>
          <w:rFonts w:cs="Arial"/>
        </w:rPr>
        <w:t>sektor</w:t>
      </w:r>
      <w:proofErr w:type="spellEnd"/>
      <w:r w:rsidRPr="00F5689B">
        <w:rPr>
          <w:rFonts w:cs="Arial"/>
        </w:rPr>
        <w:t xml:space="preserve"> </w:t>
      </w:r>
      <w:proofErr w:type="spellStart"/>
      <w:r w:rsidRPr="00F5689B">
        <w:rPr>
          <w:rFonts w:cs="Arial"/>
        </w:rPr>
        <w:t>keuangan</w:t>
      </w:r>
      <w:proofErr w:type="spellEnd"/>
      <w:r w:rsidRPr="00F5689B">
        <w:rPr>
          <w:rFonts w:cs="Arial"/>
        </w:rPr>
        <w:t xml:space="preserve"> yang </w:t>
      </w:r>
      <w:proofErr w:type="spellStart"/>
      <w:r w:rsidRPr="00F5689B">
        <w:rPr>
          <w:rFonts w:cs="Arial"/>
        </w:rPr>
        <w:t>memiliki</w:t>
      </w:r>
      <w:proofErr w:type="spellEnd"/>
      <w:r w:rsidRPr="00F5689B">
        <w:rPr>
          <w:rFonts w:cs="Arial"/>
        </w:rPr>
        <w:t xml:space="preserve"> </w:t>
      </w:r>
      <w:proofErr w:type="spellStart"/>
      <w:r w:rsidRPr="00F5689B">
        <w:rPr>
          <w:rFonts w:cs="Arial"/>
        </w:rPr>
        <w:t>reputasi</w:t>
      </w:r>
      <w:proofErr w:type="spellEnd"/>
      <w:r w:rsidRPr="00F5689B">
        <w:rPr>
          <w:rFonts w:cs="Arial"/>
        </w:rPr>
        <w:t xml:space="preserve"> yang </w:t>
      </w:r>
      <w:proofErr w:type="spellStart"/>
      <w:r w:rsidRPr="00F5689B">
        <w:rPr>
          <w:rFonts w:cs="Arial"/>
        </w:rPr>
        <w:t>baik</w:t>
      </w:r>
      <w:proofErr w:type="spellEnd"/>
      <w:r w:rsidRPr="00F5689B">
        <w:rPr>
          <w:rFonts w:cs="Arial"/>
        </w:rPr>
        <w:t xml:space="preserve"> </w:t>
      </w:r>
      <w:proofErr w:type="spellStart"/>
      <w:r w:rsidRPr="00F5689B">
        <w:rPr>
          <w:rFonts w:cs="Arial"/>
        </w:rPr>
        <w:t>diantara</w:t>
      </w:r>
      <w:proofErr w:type="spellEnd"/>
      <w:r w:rsidRPr="00F5689B">
        <w:rPr>
          <w:rFonts w:cs="Arial"/>
        </w:rPr>
        <w:t xml:space="preserve"> </w:t>
      </w:r>
      <w:proofErr w:type="spellStart"/>
      <w:r w:rsidRPr="00F5689B">
        <w:rPr>
          <w:rFonts w:cs="Arial"/>
        </w:rPr>
        <w:t>perusahaan-perusahaan</w:t>
      </w:r>
      <w:proofErr w:type="spellEnd"/>
      <w:r w:rsidRPr="00F5689B">
        <w:rPr>
          <w:rFonts w:cs="Arial"/>
        </w:rPr>
        <w:t xml:space="preserve"> lain </w:t>
      </w:r>
      <w:proofErr w:type="spellStart"/>
      <w:r w:rsidRPr="00F5689B">
        <w:rPr>
          <w:rFonts w:cs="Arial"/>
        </w:rPr>
        <w:t>sejenis</w:t>
      </w:r>
      <w:proofErr w:type="spellEnd"/>
      <w:r w:rsidRPr="00F5689B">
        <w:rPr>
          <w:rFonts w:cs="Arial"/>
        </w:rPr>
        <w:t xml:space="preserve">. </w:t>
      </w:r>
      <w:proofErr w:type="spellStart"/>
      <w:r w:rsidRPr="00F5689B">
        <w:rPr>
          <w:rFonts w:cs="Arial"/>
        </w:rPr>
        <w:t>Baiknya</w:t>
      </w:r>
      <w:proofErr w:type="spellEnd"/>
      <w:r w:rsidRPr="00F5689B">
        <w:rPr>
          <w:rFonts w:cs="Arial"/>
        </w:rPr>
        <w:t xml:space="preserve"> </w:t>
      </w:r>
      <w:proofErr w:type="spellStart"/>
      <w:r w:rsidRPr="00F5689B">
        <w:rPr>
          <w:rFonts w:cs="Arial"/>
        </w:rPr>
        <w:t>digunakan</w:t>
      </w:r>
      <w:proofErr w:type="spellEnd"/>
      <w:r w:rsidRPr="00F5689B">
        <w:rPr>
          <w:rFonts w:cs="Arial"/>
        </w:rPr>
        <w:t xml:space="preserve"> </w:t>
      </w:r>
      <w:proofErr w:type="spellStart"/>
      <w:r w:rsidRPr="00F5689B">
        <w:rPr>
          <w:rFonts w:cs="Arial"/>
        </w:rPr>
        <w:t>sampel</w:t>
      </w:r>
      <w:proofErr w:type="spellEnd"/>
      <w:r w:rsidRPr="00F5689B">
        <w:rPr>
          <w:rFonts w:cs="Arial"/>
        </w:rPr>
        <w:t xml:space="preserve"> yang </w:t>
      </w:r>
      <w:proofErr w:type="spellStart"/>
      <w:r w:rsidRPr="00F5689B">
        <w:rPr>
          <w:rFonts w:cs="Arial"/>
        </w:rPr>
        <w:t>lebih</w:t>
      </w:r>
      <w:proofErr w:type="spellEnd"/>
      <w:r w:rsidRPr="00F5689B">
        <w:rPr>
          <w:rFonts w:cs="Arial"/>
        </w:rPr>
        <w:t xml:space="preserve"> </w:t>
      </w:r>
      <w:proofErr w:type="spellStart"/>
      <w:r w:rsidRPr="00F5689B">
        <w:rPr>
          <w:rFonts w:cs="Arial"/>
        </w:rPr>
        <w:t>luas</w:t>
      </w:r>
      <w:proofErr w:type="spellEnd"/>
      <w:r w:rsidRPr="00F5689B">
        <w:rPr>
          <w:rFonts w:cs="Arial"/>
        </w:rPr>
        <w:t xml:space="preserve"> </w:t>
      </w:r>
      <w:proofErr w:type="spellStart"/>
      <w:r w:rsidRPr="00F5689B">
        <w:rPr>
          <w:rFonts w:cs="Arial"/>
        </w:rPr>
        <w:t>sehingga</w:t>
      </w:r>
      <w:proofErr w:type="spellEnd"/>
      <w:r w:rsidRPr="00F5689B">
        <w:rPr>
          <w:rFonts w:cs="Arial"/>
        </w:rPr>
        <w:t xml:space="preserve"> </w:t>
      </w:r>
      <w:proofErr w:type="spellStart"/>
      <w:r w:rsidRPr="00F5689B">
        <w:rPr>
          <w:rFonts w:cs="Arial"/>
        </w:rPr>
        <w:t>hasil</w:t>
      </w:r>
      <w:proofErr w:type="spellEnd"/>
      <w:r w:rsidRPr="00F5689B">
        <w:rPr>
          <w:rFonts w:cs="Arial"/>
        </w:rPr>
        <w:t xml:space="preserve"> </w:t>
      </w:r>
      <w:proofErr w:type="spellStart"/>
      <w:r w:rsidRPr="00F5689B">
        <w:rPr>
          <w:rFonts w:cs="Arial"/>
        </w:rPr>
        <w:t>penelitian</w:t>
      </w:r>
      <w:proofErr w:type="spellEnd"/>
      <w:r w:rsidRPr="00F5689B">
        <w:rPr>
          <w:rFonts w:cs="Arial"/>
        </w:rPr>
        <w:t xml:space="preserve"> </w:t>
      </w:r>
      <w:proofErr w:type="spellStart"/>
      <w:r w:rsidRPr="00F5689B">
        <w:rPr>
          <w:rFonts w:cs="Arial"/>
        </w:rPr>
        <w:t>dapat</w:t>
      </w:r>
      <w:proofErr w:type="spellEnd"/>
      <w:r w:rsidRPr="00F5689B">
        <w:rPr>
          <w:rFonts w:cs="Arial"/>
        </w:rPr>
        <w:t xml:space="preserve"> </w:t>
      </w:r>
      <w:proofErr w:type="spellStart"/>
      <w:r w:rsidRPr="00F5689B">
        <w:rPr>
          <w:rFonts w:cs="Arial"/>
        </w:rPr>
        <w:t>digeneralisasi</w:t>
      </w:r>
      <w:proofErr w:type="spellEnd"/>
      <w:r w:rsidRPr="00F5689B">
        <w:rPr>
          <w:rFonts w:cs="Arial"/>
        </w:rPr>
        <w:t>.</w:t>
      </w:r>
      <w:r>
        <w:rPr>
          <w:rFonts w:cs="Arial"/>
        </w:rPr>
        <w:t xml:space="preserve"> </w:t>
      </w:r>
      <w:proofErr w:type="spellStart"/>
      <w:r w:rsidRPr="00F5689B">
        <w:rPr>
          <w:rFonts w:cs="Arial"/>
        </w:rPr>
        <w:t>Pihak</w:t>
      </w:r>
      <w:proofErr w:type="spellEnd"/>
      <w:r w:rsidRPr="00F5689B">
        <w:rPr>
          <w:rFonts w:cs="Arial"/>
        </w:rPr>
        <w:t xml:space="preserve"> </w:t>
      </w:r>
      <w:proofErr w:type="spellStart"/>
      <w:r w:rsidRPr="00F5689B">
        <w:rPr>
          <w:rFonts w:cs="Arial"/>
        </w:rPr>
        <w:t>pemerintah</w:t>
      </w:r>
      <w:proofErr w:type="spellEnd"/>
      <w:r w:rsidRPr="00F5689B">
        <w:rPr>
          <w:rFonts w:cs="Arial"/>
        </w:rPr>
        <w:t xml:space="preserve"> </w:t>
      </w:r>
      <w:proofErr w:type="spellStart"/>
      <w:r w:rsidRPr="00F5689B">
        <w:rPr>
          <w:rFonts w:cs="Arial"/>
        </w:rPr>
        <w:t>sebaiknya</w:t>
      </w:r>
      <w:proofErr w:type="spellEnd"/>
      <w:r w:rsidRPr="00F5689B">
        <w:rPr>
          <w:rFonts w:cs="Arial"/>
        </w:rPr>
        <w:t xml:space="preserve"> </w:t>
      </w:r>
      <w:proofErr w:type="spellStart"/>
      <w:r w:rsidRPr="00F5689B">
        <w:rPr>
          <w:rFonts w:cs="Arial"/>
        </w:rPr>
        <w:t>fokus</w:t>
      </w:r>
      <w:proofErr w:type="spellEnd"/>
      <w:r w:rsidRPr="00F5689B">
        <w:rPr>
          <w:rFonts w:cs="Arial"/>
        </w:rPr>
        <w:t xml:space="preserve"> </w:t>
      </w:r>
      <w:proofErr w:type="spellStart"/>
      <w:r w:rsidRPr="00F5689B">
        <w:rPr>
          <w:rFonts w:cs="Arial"/>
        </w:rPr>
        <w:t>terhadap</w:t>
      </w:r>
      <w:proofErr w:type="spellEnd"/>
      <w:r w:rsidRPr="00F5689B">
        <w:rPr>
          <w:rFonts w:cs="Arial"/>
        </w:rPr>
        <w:t xml:space="preserve"> </w:t>
      </w:r>
      <w:proofErr w:type="spellStart"/>
      <w:r w:rsidRPr="00F5689B">
        <w:rPr>
          <w:rFonts w:cs="Arial"/>
        </w:rPr>
        <w:t>dampak</w:t>
      </w:r>
      <w:proofErr w:type="spellEnd"/>
      <w:r w:rsidRPr="00F5689B">
        <w:rPr>
          <w:rFonts w:cs="Arial"/>
        </w:rPr>
        <w:t xml:space="preserve"> </w:t>
      </w:r>
      <w:proofErr w:type="spellStart"/>
      <w:r w:rsidRPr="00F5689B">
        <w:rPr>
          <w:rFonts w:cs="Arial"/>
        </w:rPr>
        <w:t>negatif</w:t>
      </w:r>
      <w:proofErr w:type="spellEnd"/>
      <w:r w:rsidRPr="00F5689B">
        <w:rPr>
          <w:rFonts w:cs="Arial"/>
        </w:rPr>
        <w:t xml:space="preserve"> yang </w:t>
      </w:r>
      <w:proofErr w:type="spellStart"/>
      <w:r w:rsidRPr="00F5689B">
        <w:rPr>
          <w:rFonts w:cs="Arial"/>
        </w:rPr>
        <w:t>perlu</w:t>
      </w:r>
      <w:proofErr w:type="spellEnd"/>
      <w:r w:rsidRPr="00F5689B">
        <w:rPr>
          <w:rFonts w:cs="Arial"/>
        </w:rPr>
        <w:t xml:space="preserve"> </w:t>
      </w:r>
      <w:proofErr w:type="spellStart"/>
      <w:r w:rsidRPr="00F5689B">
        <w:rPr>
          <w:rFonts w:cs="Arial"/>
        </w:rPr>
        <w:t>diselaraskan</w:t>
      </w:r>
      <w:proofErr w:type="spellEnd"/>
      <w:r w:rsidRPr="00F5689B">
        <w:rPr>
          <w:rFonts w:cs="Arial"/>
        </w:rPr>
        <w:t xml:space="preserve"> </w:t>
      </w:r>
      <w:proofErr w:type="spellStart"/>
      <w:r w:rsidRPr="00F5689B">
        <w:rPr>
          <w:rFonts w:cs="Arial"/>
        </w:rPr>
        <w:t>dengan</w:t>
      </w:r>
      <w:proofErr w:type="spellEnd"/>
      <w:r w:rsidRPr="00F5689B">
        <w:rPr>
          <w:rFonts w:cs="Arial"/>
        </w:rPr>
        <w:t xml:space="preserve"> </w:t>
      </w:r>
      <w:proofErr w:type="spellStart"/>
      <w:r w:rsidRPr="00F5689B">
        <w:rPr>
          <w:rFonts w:cs="Arial"/>
        </w:rPr>
        <w:t>aktivitas</w:t>
      </w:r>
      <w:proofErr w:type="spellEnd"/>
      <w:r w:rsidRPr="00F5689B">
        <w:rPr>
          <w:rFonts w:cs="Arial"/>
        </w:rPr>
        <w:t xml:space="preserve"> CSR yang </w:t>
      </w:r>
      <w:proofErr w:type="spellStart"/>
      <w:r w:rsidRPr="00F5689B">
        <w:rPr>
          <w:rFonts w:cs="Arial"/>
        </w:rPr>
        <w:t>dilakukan</w:t>
      </w:r>
      <w:proofErr w:type="spellEnd"/>
      <w:r w:rsidRPr="00F5689B">
        <w:rPr>
          <w:rFonts w:cs="Arial"/>
        </w:rPr>
        <w:t xml:space="preserve"> oleh </w:t>
      </w:r>
      <w:proofErr w:type="spellStart"/>
      <w:r w:rsidRPr="00F5689B">
        <w:rPr>
          <w:rFonts w:cs="Arial"/>
        </w:rPr>
        <w:t>perusahaan</w:t>
      </w:r>
      <w:proofErr w:type="spellEnd"/>
      <w:r w:rsidRPr="00F5689B">
        <w:rPr>
          <w:rFonts w:cs="Arial"/>
        </w:rPr>
        <w:t>.</w:t>
      </w:r>
    </w:p>
    <w:p w14:paraId="041B9212" w14:textId="14A124A3" w:rsidR="00F5689B" w:rsidRPr="00F5689B" w:rsidRDefault="00F5689B" w:rsidP="00F5689B">
      <w:pPr>
        <w:ind w:left="284" w:firstLine="436"/>
        <w:jc w:val="both"/>
        <w:rPr>
          <w:rFonts w:cs="Arial"/>
        </w:rPr>
      </w:pPr>
      <w:proofErr w:type="spellStart"/>
      <w:r w:rsidRPr="00F5689B">
        <w:rPr>
          <w:rFonts w:cs="Arial"/>
        </w:rPr>
        <w:t>Bagi</w:t>
      </w:r>
      <w:proofErr w:type="spellEnd"/>
      <w:r w:rsidRPr="00F5689B">
        <w:rPr>
          <w:rFonts w:cs="Arial"/>
        </w:rPr>
        <w:t xml:space="preserve"> </w:t>
      </w:r>
      <w:proofErr w:type="spellStart"/>
      <w:r w:rsidRPr="00F5689B">
        <w:rPr>
          <w:rFonts w:cs="Arial"/>
        </w:rPr>
        <w:t>pihak</w:t>
      </w:r>
      <w:proofErr w:type="spellEnd"/>
      <w:r w:rsidRPr="00F5689B">
        <w:rPr>
          <w:rFonts w:cs="Arial"/>
        </w:rPr>
        <w:t xml:space="preserve"> </w:t>
      </w:r>
      <w:proofErr w:type="spellStart"/>
      <w:r w:rsidRPr="00F5689B">
        <w:rPr>
          <w:rFonts w:cs="Arial"/>
        </w:rPr>
        <w:t>penyedia</w:t>
      </w:r>
      <w:proofErr w:type="spellEnd"/>
      <w:r w:rsidRPr="00F5689B">
        <w:rPr>
          <w:rFonts w:cs="Arial"/>
        </w:rPr>
        <w:t xml:space="preserve"> </w:t>
      </w:r>
      <w:proofErr w:type="spellStart"/>
      <w:r w:rsidRPr="00F5689B">
        <w:rPr>
          <w:rFonts w:cs="Arial"/>
        </w:rPr>
        <w:t>laporan</w:t>
      </w:r>
      <w:proofErr w:type="spellEnd"/>
      <w:r w:rsidRPr="00F5689B">
        <w:rPr>
          <w:rFonts w:cs="Arial"/>
        </w:rPr>
        <w:t xml:space="preserve"> CSR, </w:t>
      </w:r>
      <w:proofErr w:type="spellStart"/>
      <w:r w:rsidRPr="00F5689B">
        <w:rPr>
          <w:rFonts w:cs="Arial"/>
        </w:rPr>
        <w:t>penggunaan</w:t>
      </w:r>
      <w:proofErr w:type="spellEnd"/>
      <w:r w:rsidRPr="00F5689B">
        <w:rPr>
          <w:rFonts w:cs="Arial"/>
        </w:rPr>
        <w:t xml:space="preserve"> </w:t>
      </w:r>
      <w:proofErr w:type="spellStart"/>
      <w:r w:rsidRPr="00F5689B">
        <w:rPr>
          <w:rFonts w:cs="Arial"/>
        </w:rPr>
        <w:t>analisis</w:t>
      </w:r>
      <w:proofErr w:type="spellEnd"/>
      <w:r w:rsidRPr="00F5689B">
        <w:rPr>
          <w:rFonts w:cs="Arial"/>
        </w:rPr>
        <w:t xml:space="preserve"> </w:t>
      </w:r>
      <w:proofErr w:type="spellStart"/>
      <w:r w:rsidRPr="00F5689B">
        <w:rPr>
          <w:rFonts w:cs="Arial"/>
        </w:rPr>
        <w:t>dampak</w:t>
      </w:r>
      <w:proofErr w:type="spellEnd"/>
      <w:r w:rsidRPr="00F5689B">
        <w:rPr>
          <w:rFonts w:cs="Arial"/>
        </w:rPr>
        <w:t xml:space="preserve"> </w:t>
      </w:r>
      <w:proofErr w:type="spellStart"/>
      <w:r w:rsidRPr="00F5689B">
        <w:rPr>
          <w:rFonts w:cs="Arial"/>
        </w:rPr>
        <w:t>negatif</w:t>
      </w:r>
      <w:proofErr w:type="spellEnd"/>
      <w:r w:rsidRPr="00F5689B">
        <w:rPr>
          <w:rFonts w:cs="Arial"/>
        </w:rPr>
        <w:t xml:space="preserve"> </w:t>
      </w:r>
      <w:proofErr w:type="spellStart"/>
      <w:r w:rsidRPr="00F5689B">
        <w:rPr>
          <w:rFonts w:cs="Arial"/>
        </w:rPr>
        <w:t>dari</w:t>
      </w:r>
      <w:proofErr w:type="spellEnd"/>
      <w:r w:rsidRPr="00F5689B">
        <w:rPr>
          <w:rFonts w:cs="Arial"/>
        </w:rPr>
        <w:t xml:space="preserve"> </w:t>
      </w:r>
      <w:proofErr w:type="spellStart"/>
      <w:r w:rsidRPr="00F5689B">
        <w:rPr>
          <w:rFonts w:cs="Arial"/>
        </w:rPr>
        <w:t>operasional</w:t>
      </w:r>
      <w:proofErr w:type="spellEnd"/>
      <w:r w:rsidRPr="00F5689B">
        <w:rPr>
          <w:rFonts w:cs="Arial"/>
        </w:rPr>
        <w:t xml:space="preserve"> </w:t>
      </w:r>
      <w:proofErr w:type="spellStart"/>
      <w:r w:rsidRPr="00F5689B">
        <w:rPr>
          <w:rFonts w:cs="Arial"/>
        </w:rPr>
        <w:t>perusahaan</w:t>
      </w:r>
      <w:proofErr w:type="spellEnd"/>
      <w:r w:rsidRPr="00F5689B">
        <w:rPr>
          <w:rFonts w:cs="Arial"/>
        </w:rPr>
        <w:t xml:space="preserve"> </w:t>
      </w:r>
      <w:proofErr w:type="spellStart"/>
      <w:r w:rsidRPr="00F5689B">
        <w:rPr>
          <w:rFonts w:cs="Arial"/>
        </w:rPr>
        <w:t>sebelum</w:t>
      </w:r>
      <w:proofErr w:type="spellEnd"/>
      <w:r w:rsidRPr="00F5689B">
        <w:rPr>
          <w:rFonts w:cs="Arial"/>
        </w:rPr>
        <w:t xml:space="preserve"> </w:t>
      </w:r>
      <w:proofErr w:type="spellStart"/>
      <w:r w:rsidRPr="00F5689B">
        <w:rPr>
          <w:rFonts w:cs="Arial"/>
        </w:rPr>
        <w:t>melaksanakan</w:t>
      </w:r>
      <w:proofErr w:type="spellEnd"/>
      <w:r w:rsidRPr="00F5689B">
        <w:rPr>
          <w:rFonts w:cs="Arial"/>
        </w:rPr>
        <w:t xml:space="preserve"> </w:t>
      </w:r>
      <w:proofErr w:type="spellStart"/>
      <w:r w:rsidRPr="00F5689B">
        <w:rPr>
          <w:rFonts w:cs="Arial"/>
        </w:rPr>
        <w:t>aktivitas</w:t>
      </w:r>
      <w:proofErr w:type="spellEnd"/>
      <w:r w:rsidRPr="00F5689B">
        <w:rPr>
          <w:rFonts w:cs="Arial"/>
        </w:rPr>
        <w:t xml:space="preserve"> CSR </w:t>
      </w:r>
      <w:proofErr w:type="spellStart"/>
      <w:r w:rsidRPr="00F5689B">
        <w:rPr>
          <w:rFonts w:cs="Arial"/>
        </w:rPr>
        <w:t>akan</w:t>
      </w:r>
      <w:proofErr w:type="spellEnd"/>
      <w:r w:rsidRPr="00F5689B">
        <w:rPr>
          <w:rFonts w:cs="Arial"/>
        </w:rPr>
        <w:t xml:space="preserve"> </w:t>
      </w:r>
      <w:proofErr w:type="spellStart"/>
      <w:r w:rsidRPr="00F5689B">
        <w:rPr>
          <w:rFonts w:cs="Arial"/>
        </w:rPr>
        <w:t>lebih</w:t>
      </w:r>
      <w:proofErr w:type="spellEnd"/>
      <w:r w:rsidRPr="00F5689B">
        <w:rPr>
          <w:rFonts w:cs="Arial"/>
        </w:rPr>
        <w:t xml:space="preserve"> </w:t>
      </w:r>
      <w:proofErr w:type="spellStart"/>
      <w:r w:rsidRPr="00F5689B">
        <w:rPr>
          <w:rFonts w:cs="Arial"/>
        </w:rPr>
        <w:t>efektif</w:t>
      </w:r>
      <w:proofErr w:type="spellEnd"/>
      <w:r w:rsidRPr="00F5689B">
        <w:rPr>
          <w:rFonts w:cs="Arial"/>
        </w:rPr>
        <w:t xml:space="preserve"> dan </w:t>
      </w:r>
      <w:proofErr w:type="spellStart"/>
      <w:r w:rsidRPr="00F5689B">
        <w:rPr>
          <w:rFonts w:cs="Arial"/>
        </w:rPr>
        <w:t>efesien</w:t>
      </w:r>
      <w:proofErr w:type="spellEnd"/>
      <w:r w:rsidRPr="00F5689B">
        <w:rPr>
          <w:rFonts w:cs="Arial"/>
        </w:rPr>
        <w:t xml:space="preserve"> </w:t>
      </w:r>
      <w:proofErr w:type="spellStart"/>
      <w:r w:rsidRPr="00F5689B">
        <w:rPr>
          <w:rFonts w:cs="Arial"/>
        </w:rPr>
        <w:t>sehingga</w:t>
      </w:r>
      <w:proofErr w:type="spellEnd"/>
      <w:r w:rsidRPr="00F5689B">
        <w:rPr>
          <w:rFonts w:cs="Arial"/>
        </w:rPr>
        <w:t xml:space="preserve"> </w:t>
      </w:r>
      <w:proofErr w:type="spellStart"/>
      <w:r w:rsidRPr="00F5689B">
        <w:rPr>
          <w:rFonts w:cs="Arial"/>
        </w:rPr>
        <w:t>tidak</w:t>
      </w:r>
      <w:proofErr w:type="spellEnd"/>
      <w:r w:rsidRPr="00F5689B">
        <w:rPr>
          <w:rFonts w:cs="Arial"/>
        </w:rPr>
        <w:t xml:space="preserve"> </w:t>
      </w:r>
      <w:proofErr w:type="spellStart"/>
      <w:r w:rsidRPr="00F5689B">
        <w:rPr>
          <w:rFonts w:cs="Arial"/>
        </w:rPr>
        <w:t>merasakan</w:t>
      </w:r>
      <w:proofErr w:type="spellEnd"/>
      <w:r w:rsidRPr="00F5689B">
        <w:rPr>
          <w:rFonts w:cs="Arial"/>
        </w:rPr>
        <w:t xml:space="preserve"> </w:t>
      </w:r>
      <w:proofErr w:type="spellStart"/>
      <w:r w:rsidRPr="00F5689B">
        <w:rPr>
          <w:rFonts w:cs="Arial"/>
        </w:rPr>
        <w:t>pemborosan</w:t>
      </w:r>
      <w:proofErr w:type="spellEnd"/>
      <w:r w:rsidRPr="00F5689B">
        <w:rPr>
          <w:rFonts w:cs="Arial"/>
        </w:rPr>
        <w:t xml:space="preserve"> </w:t>
      </w:r>
      <w:proofErr w:type="spellStart"/>
      <w:r w:rsidRPr="00F5689B">
        <w:rPr>
          <w:rFonts w:cs="Arial"/>
        </w:rPr>
        <w:t>saat</w:t>
      </w:r>
      <w:proofErr w:type="spellEnd"/>
      <w:r w:rsidRPr="00F5689B">
        <w:rPr>
          <w:rFonts w:cs="Arial"/>
        </w:rPr>
        <w:t xml:space="preserve"> </w:t>
      </w:r>
      <w:proofErr w:type="spellStart"/>
      <w:r w:rsidRPr="00F5689B">
        <w:rPr>
          <w:rFonts w:cs="Arial"/>
        </w:rPr>
        <w:t>peningkatan</w:t>
      </w:r>
      <w:proofErr w:type="spellEnd"/>
      <w:r w:rsidRPr="00F5689B">
        <w:rPr>
          <w:rFonts w:cs="Arial"/>
        </w:rPr>
        <w:t xml:space="preserve"> </w:t>
      </w:r>
      <w:proofErr w:type="spellStart"/>
      <w:r w:rsidRPr="00F5689B">
        <w:rPr>
          <w:rFonts w:cs="Arial"/>
        </w:rPr>
        <w:t>kualitas</w:t>
      </w:r>
      <w:proofErr w:type="spellEnd"/>
      <w:r w:rsidRPr="00F5689B">
        <w:rPr>
          <w:rFonts w:cs="Arial"/>
        </w:rPr>
        <w:t xml:space="preserve"> </w:t>
      </w:r>
      <w:proofErr w:type="spellStart"/>
      <w:r w:rsidRPr="00F5689B">
        <w:rPr>
          <w:rFonts w:cs="Arial"/>
        </w:rPr>
        <w:t>pengungkapan</w:t>
      </w:r>
      <w:proofErr w:type="spellEnd"/>
      <w:r w:rsidRPr="00F5689B">
        <w:rPr>
          <w:rFonts w:cs="Arial"/>
        </w:rPr>
        <w:t xml:space="preserve"> CSR. </w:t>
      </w:r>
      <w:proofErr w:type="spellStart"/>
      <w:r w:rsidRPr="00F5689B">
        <w:rPr>
          <w:rFonts w:cs="Arial"/>
        </w:rPr>
        <w:t>Penggunaan</w:t>
      </w:r>
      <w:proofErr w:type="spellEnd"/>
      <w:r w:rsidRPr="00F5689B">
        <w:rPr>
          <w:rFonts w:cs="Arial"/>
        </w:rPr>
        <w:t xml:space="preserve"> media informal online </w:t>
      </w:r>
      <w:proofErr w:type="spellStart"/>
      <w:r w:rsidRPr="00F5689B">
        <w:rPr>
          <w:rFonts w:cs="Arial"/>
        </w:rPr>
        <w:t>maupun</w:t>
      </w:r>
      <w:proofErr w:type="spellEnd"/>
      <w:r w:rsidRPr="00F5689B">
        <w:rPr>
          <w:rFonts w:cs="Arial"/>
        </w:rPr>
        <w:t xml:space="preserve"> offline </w:t>
      </w:r>
      <w:proofErr w:type="spellStart"/>
      <w:r w:rsidRPr="00F5689B">
        <w:rPr>
          <w:rFonts w:cs="Arial"/>
        </w:rPr>
        <w:t>adalah</w:t>
      </w:r>
      <w:proofErr w:type="spellEnd"/>
      <w:r w:rsidRPr="00F5689B">
        <w:rPr>
          <w:rFonts w:cs="Arial"/>
        </w:rPr>
        <w:t xml:space="preserve"> salah </w:t>
      </w:r>
      <w:proofErr w:type="spellStart"/>
      <w:r w:rsidRPr="00F5689B">
        <w:rPr>
          <w:rFonts w:cs="Arial"/>
        </w:rPr>
        <w:t>satu</w:t>
      </w:r>
      <w:proofErr w:type="spellEnd"/>
      <w:r w:rsidRPr="00F5689B">
        <w:rPr>
          <w:rFonts w:cs="Arial"/>
        </w:rPr>
        <w:t xml:space="preserve"> </w:t>
      </w:r>
      <w:proofErr w:type="spellStart"/>
      <w:r w:rsidRPr="00F5689B">
        <w:rPr>
          <w:rFonts w:cs="Arial"/>
        </w:rPr>
        <w:t>alternatif</w:t>
      </w:r>
      <w:proofErr w:type="spellEnd"/>
      <w:r w:rsidRPr="00F5689B">
        <w:rPr>
          <w:rFonts w:cs="Arial"/>
        </w:rPr>
        <w:t xml:space="preserve"> </w:t>
      </w:r>
      <w:proofErr w:type="spellStart"/>
      <w:r w:rsidRPr="00F5689B">
        <w:rPr>
          <w:rFonts w:cs="Arial"/>
        </w:rPr>
        <w:t>untuk</w:t>
      </w:r>
      <w:proofErr w:type="spellEnd"/>
      <w:r w:rsidRPr="00F5689B">
        <w:rPr>
          <w:rFonts w:cs="Arial"/>
        </w:rPr>
        <w:t xml:space="preserve"> </w:t>
      </w:r>
      <w:proofErr w:type="spellStart"/>
      <w:r w:rsidRPr="00F5689B">
        <w:rPr>
          <w:rFonts w:cs="Arial"/>
        </w:rPr>
        <w:t>menerima</w:t>
      </w:r>
      <w:proofErr w:type="spellEnd"/>
      <w:r w:rsidRPr="00F5689B">
        <w:rPr>
          <w:rFonts w:cs="Arial"/>
        </w:rPr>
        <w:t xml:space="preserve"> </w:t>
      </w:r>
      <w:proofErr w:type="spellStart"/>
      <w:r w:rsidRPr="00F5689B">
        <w:rPr>
          <w:rFonts w:cs="Arial"/>
        </w:rPr>
        <w:t>legitimasi</w:t>
      </w:r>
      <w:proofErr w:type="spellEnd"/>
      <w:r w:rsidRPr="00F5689B">
        <w:rPr>
          <w:rFonts w:cs="Arial"/>
        </w:rPr>
        <w:t xml:space="preserve"> </w:t>
      </w:r>
      <w:proofErr w:type="spellStart"/>
      <w:r w:rsidRPr="00F5689B">
        <w:rPr>
          <w:rFonts w:cs="Arial"/>
        </w:rPr>
        <w:t>akan</w:t>
      </w:r>
      <w:proofErr w:type="spellEnd"/>
      <w:r w:rsidRPr="00F5689B">
        <w:rPr>
          <w:rFonts w:cs="Arial"/>
        </w:rPr>
        <w:t xml:space="preserve"> </w:t>
      </w:r>
      <w:proofErr w:type="spellStart"/>
      <w:r w:rsidRPr="00F5689B">
        <w:rPr>
          <w:rFonts w:cs="Arial"/>
        </w:rPr>
        <w:t>keberadaan</w:t>
      </w:r>
      <w:proofErr w:type="spellEnd"/>
      <w:r w:rsidRPr="00F5689B">
        <w:rPr>
          <w:rFonts w:cs="Arial"/>
        </w:rPr>
        <w:t xml:space="preserve"> </w:t>
      </w:r>
      <w:proofErr w:type="spellStart"/>
      <w:r w:rsidRPr="00F5689B">
        <w:rPr>
          <w:rFonts w:cs="Arial"/>
        </w:rPr>
        <w:t>suatu</w:t>
      </w:r>
      <w:proofErr w:type="spellEnd"/>
      <w:r w:rsidRPr="00F5689B">
        <w:rPr>
          <w:rFonts w:cs="Arial"/>
        </w:rPr>
        <w:t xml:space="preserve"> </w:t>
      </w:r>
      <w:proofErr w:type="spellStart"/>
      <w:r w:rsidRPr="00F5689B">
        <w:rPr>
          <w:rFonts w:cs="Arial"/>
        </w:rPr>
        <w:t>perusahaan</w:t>
      </w:r>
      <w:proofErr w:type="spellEnd"/>
      <w:r w:rsidRPr="00F5689B">
        <w:rPr>
          <w:rFonts w:cs="Arial"/>
        </w:rPr>
        <w:t>.</w:t>
      </w:r>
      <w:r>
        <w:rPr>
          <w:rFonts w:cs="Arial"/>
        </w:rPr>
        <w:t xml:space="preserve"> </w:t>
      </w:r>
      <w:r w:rsidRPr="00F5689B">
        <w:rPr>
          <w:rFonts w:cs="Arial"/>
          <w:bCs/>
          <w:lang w:val="id-ID"/>
        </w:rPr>
        <w:t xml:space="preserve">Pada akhirnya pengungkapan </w:t>
      </w:r>
      <w:r w:rsidRPr="00F5689B">
        <w:rPr>
          <w:rFonts w:cs="Arial"/>
          <w:bCs/>
        </w:rPr>
        <w:t>CSR</w:t>
      </w:r>
      <w:r w:rsidRPr="00F5689B">
        <w:rPr>
          <w:rFonts w:cs="Arial"/>
          <w:bCs/>
          <w:lang w:val="id-ID"/>
        </w:rPr>
        <w:t xml:space="preserve"> tidak perlu bersifat </w:t>
      </w:r>
      <w:proofErr w:type="spellStart"/>
      <w:r w:rsidRPr="00F5689B">
        <w:rPr>
          <w:rFonts w:cs="Arial"/>
          <w:bCs/>
          <w:lang w:val="id-ID"/>
        </w:rPr>
        <w:t>mandatory</w:t>
      </w:r>
      <w:proofErr w:type="spellEnd"/>
      <w:r w:rsidRPr="00F5689B">
        <w:rPr>
          <w:rFonts w:cs="Arial"/>
          <w:bCs/>
          <w:lang w:val="id-ID"/>
        </w:rPr>
        <w:t xml:space="preserve"> untuk negara-negara berkembang seperti sampel penelitian ini </w:t>
      </w:r>
      <w:proofErr w:type="spellStart"/>
      <w:r w:rsidRPr="00F5689B">
        <w:rPr>
          <w:rFonts w:cs="Arial"/>
          <w:bCs/>
        </w:rPr>
        <w:t>yaitu</w:t>
      </w:r>
      <w:proofErr w:type="spellEnd"/>
      <w:r w:rsidRPr="00F5689B">
        <w:rPr>
          <w:rFonts w:cs="Arial"/>
          <w:bCs/>
          <w:lang w:val="id-ID"/>
        </w:rPr>
        <w:t xml:space="preserve"> negara </w:t>
      </w:r>
      <w:proofErr w:type="spellStart"/>
      <w:r w:rsidRPr="00F5689B">
        <w:rPr>
          <w:rFonts w:cs="Arial"/>
          <w:bCs/>
          <w:lang w:val="id-ID"/>
        </w:rPr>
        <w:t>indonesia</w:t>
      </w:r>
      <w:proofErr w:type="spellEnd"/>
      <w:r w:rsidRPr="00F5689B">
        <w:rPr>
          <w:rFonts w:cs="Arial"/>
          <w:bCs/>
          <w:lang w:val="id-ID"/>
        </w:rPr>
        <w:t xml:space="preserve">. Aktivitas CSR yang masih harus bersifat </w:t>
      </w:r>
      <w:proofErr w:type="spellStart"/>
      <w:r w:rsidRPr="00F5689B">
        <w:rPr>
          <w:rFonts w:cs="Arial"/>
          <w:bCs/>
          <w:lang w:val="id-ID"/>
        </w:rPr>
        <w:t>mandatory</w:t>
      </w:r>
      <w:proofErr w:type="spellEnd"/>
      <w:r w:rsidRPr="00F5689B">
        <w:rPr>
          <w:rFonts w:cs="Arial"/>
          <w:bCs/>
          <w:lang w:val="id-ID"/>
        </w:rPr>
        <w:t xml:space="preserve"> sudah menjadi kebijakan yang tepat, akan tetapi pelaporan untuk aktivitas tersebut masih menjadi beban banyak perusahaan karena besarnya biaya yang dikeluarkan dan </w:t>
      </w:r>
      <w:proofErr w:type="spellStart"/>
      <w:r w:rsidRPr="00F5689B">
        <w:rPr>
          <w:rFonts w:cs="Arial"/>
          <w:bCs/>
          <w:lang w:val="id-ID"/>
        </w:rPr>
        <w:t>kurangnya</w:t>
      </w:r>
      <w:proofErr w:type="spellEnd"/>
      <w:r w:rsidRPr="00F5689B">
        <w:rPr>
          <w:rFonts w:cs="Arial"/>
          <w:bCs/>
          <w:lang w:val="id-ID"/>
        </w:rPr>
        <w:t xml:space="preserve"> ketertarikan pihak-pihak yang secara sadar maupun tidak memiliki hak atas aktivitas yang memang seharusnya dilakukan oleh perusahaan. </w:t>
      </w:r>
    </w:p>
    <w:p w14:paraId="427C3281" w14:textId="5266D461" w:rsidR="00A07ECC" w:rsidRPr="00AB5E21" w:rsidRDefault="00A07ECC" w:rsidP="00AB5E21">
      <w:pPr>
        <w:pStyle w:val="Heading1"/>
        <w:ind w:left="0"/>
      </w:pPr>
    </w:p>
    <w:p w14:paraId="31AA5675" w14:textId="77777777" w:rsidR="00A07ECC" w:rsidRDefault="00BE4EBF">
      <w:pPr>
        <w:pStyle w:val="Heading1"/>
        <w:ind w:left="119"/>
      </w:pPr>
      <w:r>
        <w:rPr>
          <w:color w:val="00AF50"/>
        </w:rPr>
        <w:t>REFERENCES</w:t>
      </w:r>
    </w:p>
    <w:p w14:paraId="6EC386F1" w14:textId="77777777" w:rsidR="00A07ECC" w:rsidRDefault="00A07ECC">
      <w:pPr>
        <w:pStyle w:val="BodyText"/>
        <w:spacing w:before="2"/>
        <w:rPr>
          <w:b/>
          <w:sz w:val="29"/>
        </w:rPr>
      </w:pPr>
    </w:p>
    <w:p w14:paraId="5E1CAD7B" w14:textId="77777777" w:rsidR="00A07ECC" w:rsidRDefault="00BE4EBF">
      <w:pPr>
        <w:pStyle w:val="BodyText"/>
        <w:ind w:left="686" w:right="295" w:hanging="567"/>
        <w:jc w:val="both"/>
      </w:pPr>
      <w:r>
        <w:t xml:space="preserve">Anas, A., Rashid, H. M. A., &amp; </w:t>
      </w:r>
      <w:proofErr w:type="spellStart"/>
      <w:r>
        <w:t>Annuar</w:t>
      </w:r>
      <w:proofErr w:type="spellEnd"/>
      <w:r>
        <w:t>, H. A. (2015). The Effect of Award on CSR Disclosures in Annual Reports of</w:t>
      </w:r>
      <w:r>
        <w:rPr>
          <w:spacing w:val="-45"/>
        </w:rPr>
        <w:t xml:space="preserve"> </w:t>
      </w:r>
      <w:r>
        <w:t>Malaysian</w:t>
      </w:r>
      <w:r>
        <w:rPr>
          <w:spacing w:val="-5"/>
        </w:rPr>
        <w:t xml:space="preserve"> </w:t>
      </w:r>
      <w:r>
        <w:t>PLCs.</w:t>
      </w:r>
      <w:r>
        <w:rPr>
          <w:spacing w:val="-3"/>
        </w:rPr>
        <w:t xml:space="preserve"> </w:t>
      </w:r>
      <w:r>
        <w:rPr>
          <w:i/>
        </w:rPr>
        <w:t>Social</w:t>
      </w:r>
      <w:r>
        <w:rPr>
          <w:i/>
          <w:spacing w:val="-4"/>
        </w:rPr>
        <w:t xml:space="preserve"> </w:t>
      </w:r>
      <w:r>
        <w:rPr>
          <w:i/>
        </w:rPr>
        <w:t>Responsibility</w:t>
      </w:r>
      <w:r>
        <w:rPr>
          <w:i/>
          <w:spacing w:val="-2"/>
        </w:rPr>
        <w:t xml:space="preserve"> </w:t>
      </w:r>
      <w:r>
        <w:rPr>
          <w:i/>
        </w:rPr>
        <w:t>Journal</w:t>
      </w:r>
      <w:r>
        <w:t>,</w:t>
      </w:r>
      <w:r>
        <w:rPr>
          <w:spacing w:val="-2"/>
        </w:rPr>
        <w:t xml:space="preserve"> </w:t>
      </w:r>
      <w:r>
        <w:rPr>
          <w:i/>
        </w:rPr>
        <w:t>11</w:t>
      </w:r>
      <w:r>
        <w:t>(4),</w:t>
      </w:r>
      <w:r>
        <w:rPr>
          <w:spacing w:val="-2"/>
        </w:rPr>
        <w:t xml:space="preserve"> </w:t>
      </w:r>
      <w:r>
        <w:t>831–852.</w:t>
      </w:r>
      <w:r>
        <w:rPr>
          <w:spacing w:val="-1"/>
        </w:rPr>
        <w:t xml:space="preserve"> </w:t>
      </w:r>
      <w:r>
        <w:t>https://doi.org/10.1108/SRJ-02-2013-0014</w:t>
      </w:r>
    </w:p>
    <w:p w14:paraId="0D38311C" w14:textId="77777777" w:rsidR="00A07ECC" w:rsidRDefault="00BE4EBF">
      <w:pPr>
        <w:spacing w:before="1"/>
        <w:ind w:left="686" w:right="292" w:hanging="567"/>
        <w:jc w:val="both"/>
      </w:pPr>
      <w:proofErr w:type="spellStart"/>
      <w:r>
        <w:t>Asmeri</w:t>
      </w:r>
      <w:proofErr w:type="spellEnd"/>
      <w:r>
        <w:t xml:space="preserve">, R., </w:t>
      </w:r>
      <w:proofErr w:type="spellStart"/>
      <w:r>
        <w:t>Alvionita</w:t>
      </w:r>
      <w:proofErr w:type="spellEnd"/>
      <w:r>
        <w:t xml:space="preserve">, T., &amp; </w:t>
      </w:r>
      <w:proofErr w:type="spellStart"/>
      <w:r>
        <w:t>Gunardi</w:t>
      </w:r>
      <w:proofErr w:type="spellEnd"/>
      <w:r>
        <w:t>, A. (2017). CSR Disclosures in the Mining Industry: Empirical Evidence from</w:t>
      </w:r>
      <w:r>
        <w:rPr>
          <w:spacing w:val="1"/>
        </w:rPr>
        <w:t xml:space="preserve"> </w:t>
      </w:r>
      <w:r>
        <w:t xml:space="preserve">Listed Mining Firms in Indonesia. </w:t>
      </w:r>
      <w:r>
        <w:rPr>
          <w:i/>
        </w:rPr>
        <w:t>Indonesian Journal of Sustainability Accounting and Management</w:t>
      </w:r>
      <w:r>
        <w:t xml:space="preserve">, </w:t>
      </w:r>
      <w:r>
        <w:rPr>
          <w:i/>
        </w:rPr>
        <w:t>1</w:t>
      </w:r>
      <w:r>
        <w:t>(1),</w:t>
      </w:r>
      <w:r>
        <w:rPr>
          <w:spacing w:val="1"/>
        </w:rPr>
        <w:t xml:space="preserve"> </w:t>
      </w:r>
      <w:r>
        <w:t>16–22.</w:t>
      </w:r>
      <w:r>
        <w:rPr>
          <w:spacing w:val="-1"/>
        </w:rPr>
        <w:t xml:space="preserve"> </w:t>
      </w:r>
      <w:r>
        <w:t>https://doi.org/10.28992/ijsam.v1i1.23</w:t>
      </w:r>
    </w:p>
    <w:p w14:paraId="3FC0C874" w14:textId="77777777" w:rsidR="00A07ECC" w:rsidRDefault="00BE4EBF">
      <w:pPr>
        <w:pStyle w:val="BodyText"/>
        <w:spacing w:before="1"/>
        <w:ind w:left="686" w:right="291" w:hanging="567"/>
        <w:jc w:val="both"/>
      </w:pPr>
      <w:r>
        <w:t>Bae, K.-H., Kang, J.-K., &amp; Wang, J. (2011). Employee Treatment and Firm Leverage: A Test of the Stakeholder</w:t>
      </w:r>
      <w:r>
        <w:rPr>
          <w:spacing w:val="1"/>
        </w:rPr>
        <w:t xml:space="preserve"> </w:t>
      </w:r>
      <w:r>
        <w:t>Theory</w:t>
      </w:r>
      <w:r>
        <w:rPr>
          <w:spacing w:val="1"/>
        </w:rPr>
        <w:t xml:space="preserve"> </w:t>
      </w:r>
      <w:r>
        <w:t>of</w:t>
      </w:r>
      <w:r>
        <w:rPr>
          <w:spacing w:val="1"/>
        </w:rPr>
        <w:t xml:space="preserve"> </w:t>
      </w:r>
      <w:r>
        <w:t>Capital</w:t>
      </w:r>
      <w:r>
        <w:rPr>
          <w:spacing w:val="1"/>
        </w:rPr>
        <w:t xml:space="preserve"> </w:t>
      </w:r>
      <w:r>
        <w:t>Structure.</w:t>
      </w:r>
      <w:r>
        <w:rPr>
          <w:spacing w:val="1"/>
        </w:rPr>
        <w:t xml:space="preserve"> </w:t>
      </w:r>
      <w:r>
        <w:rPr>
          <w:i/>
        </w:rPr>
        <w:t>Journal</w:t>
      </w:r>
      <w:r>
        <w:rPr>
          <w:i/>
          <w:spacing w:val="1"/>
        </w:rPr>
        <w:t xml:space="preserve"> </w:t>
      </w:r>
      <w:r>
        <w:rPr>
          <w:i/>
        </w:rPr>
        <w:t>of</w:t>
      </w:r>
      <w:r>
        <w:rPr>
          <w:i/>
          <w:spacing w:val="1"/>
        </w:rPr>
        <w:t xml:space="preserve"> </w:t>
      </w:r>
      <w:r>
        <w:rPr>
          <w:i/>
        </w:rPr>
        <w:t>Financial</w:t>
      </w:r>
      <w:r>
        <w:rPr>
          <w:i/>
          <w:spacing w:val="1"/>
        </w:rPr>
        <w:t xml:space="preserve"> </w:t>
      </w:r>
      <w:r>
        <w:rPr>
          <w:i/>
        </w:rPr>
        <w:t>Economics</w:t>
      </w:r>
      <w:r>
        <w:t>,</w:t>
      </w:r>
      <w:r>
        <w:rPr>
          <w:spacing w:val="1"/>
        </w:rPr>
        <w:t xml:space="preserve"> </w:t>
      </w:r>
      <w:r>
        <w:rPr>
          <w:i/>
        </w:rPr>
        <w:t>100</w:t>
      </w:r>
      <w:r>
        <w:t>(1),</w:t>
      </w:r>
      <w:r>
        <w:rPr>
          <w:spacing w:val="1"/>
        </w:rPr>
        <w:t xml:space="preserve"> </w:t>
      </w:r>
      <w:r>
        <w:t>130–153.</w:t>
      </w:r>
      <w:r>
        <w:rPr>
          <w:spacing w:val="1"/>
        </w:rPr>
        <w:t xml:space="preserve"> </w:t>
      </w:r>
      <w:r>
        <w:t>https://doi.org/10.1016/j.jfineco.2010.10.019</w:t>
      </w:r>
    </w:p>
    <w:p w14:paraId="61D6D657" w14:textId="77777777" w:rsidR="00A07ECC" w:rsidRDefault="00BE4EBF">
      <w:pPr>
        <w:spacing w:before="1"/>
        <w:ind w:left="686" w:right="293" w:hanging="567"/>
        <w:jc w:val="both"/>
      </w:pPr>
      <w:proofErr w:type="spellStart"/>
      <w:r>
        <w:t>Bajic</w:t>
      </w:r>
      <w:proofErr w:type="spellEnd"/>
      <w:r>
        <w:t xml:space="preserve">, S., &amp; </w:t>
      </w:r>
      <w:proofErr w:type="spellStart"/>
      <w:r>
        <w:t>Yurtoglu</w:t>
      </w:r>
      <w:proofErr w:type="spellEnd"/>
      <w:r>
        <w:t xml:space="preserve">, B. (2018). Which Aspects of CSR Predict Firm Market Value? </w:t>
      </w:r>
      <w:r>
        <w:rPr>
          <w:i/>
        </w:rPr>
        <w:t>Journal of Capital Markets</w:t>
      </w:r>
      <w:r>
        <w:rPr>
          <w:i/>
          <w:spacing w:val="1"/>
        </w:rPr>
        <w:t xml:space="preserve"> </w:t>
      </w:r>
      <w:r>
        <w:rPr>
          <w:i/>
        </w:rPr>
        <w:t>Studies</w:t>
      </w:r>
      <w:r>
        <w:t>,</w:t>
      </w:r>
      <w:r>
        <w:rPr>
          <w:spacing w:val="-2"/>
        </w:rPr>
        <w:t xml:space="preserve"> </w:t>
      </w:r>
      <w:r>
        <w:rPr>
          <w:i/>
        </w:rPr>
        <w:t>2</w:t>
      </w:r>
      <w:r>
        <w:t>(1), 50–69.</w:t>
      </w:r>
      <w:r>
        <w:rPr>
          <w:spacing w:val="-3"/>
        </w:rPr>
        <w:t xml:space="preserve"> </w:t>
      </w:r>
      <w:r>
        <w:t>https://doi.org/10.1108/JCMS-10-2017-0002</w:t>
      </w:r>
    </w:p>
    <w:p w14:paraId="09E9BD65" w14:textId="77777777" w:rsidR="00A07ECC" w:rsidRDefault="00BE4EBF">
      <w:pPr>
        <w:pStyle w:val="BodyText"/>
        <w:ind w:left="686" w:right="291" w:hanging="567"/>
        <w:jc w:val="both"/>
      </w:pPr>
      <w:r>
        <w:t>Bilbao-</w:t>
      </w:r>
      <w:proofErr w:type="spellStart"/>
      <w:r>
        <w:t>Terol</w:t>
      </w:r>
      <w:proofErr w:type="spellEnd"/>
      <w:r>
        <w:t>,</w:t>
      </w:r>
      <w:r>
        <w:rPr>
          <w:spacing w:val="-5"/>
        </w:rPr>
        <w:t xml:space="preserve"> </w:t>
      </w:r>
      <w:r>
        <w:t>A.,</w:t>
      </w:r>
      <w:r>
        <w:rPr>
          <w:spacing w:val="-8"/>
        </w:rPr>
        <w:t xml:space="preserve"> </w:t>
      </w:r>
      <w:r>
        <w:t>Arenas-Parra,</w:t>
      </w:r>
      <w:r>
        <w:rPr>
          <w:spacing w:val="-8"/>
        </w:rPr>
        <w:t xml:space="preserve"> </w:t>
      </w:r>
      <w:r>
        <w:t>M.,</w:t>
      </w:r>
      <w:r>
        <w:rPr>
          <w:spacing w:val="-8"/>
        </w:rPr>
        <w:t xml:space="preserve"> </w:t>
      </w:r>
      <w:r>
        <w:t>Alvarez-Otero,</w:t>
      </w:r>
      <w:r>
        <w:rPr>
          <w:spacing w:val="-5"/>
        </w:rPr>
        <w:t xml:space="preserve"> </w:t>
      </w:r>
      <w:r>
        <w:t>S.,</w:t>
      </w:r>
      <w:r>
        <w:rPr>
          <w:spacing w:val="-9"/>
        </w:rPr>
        <w:t xml:space="preserve"> </w:t>
      </w:r>
      <w:r>
        <w:t>&amp;</w:t>
      </w:r>
      <w:r>
        <w:rPr>
          <w:spacing w:val="-6"/>
        </w:rPr>
        <w:t xml:space="preserve"> </w:t>
      </w:r>
      <w:proofErr w:type="spellStart"/>
      <w:r>
        <w:t>Cañal</w:t>
      </w:r>
      <w:proofErr w:type="spellEnd"/>
      <w:r>
        <w:t>-Fernández,</w:t>
      </w:r>
      <w:r>
        <w:rPr>
          <w:spacing w:val="-5"/>
        </w:rPr>
        <w:t xml:space="preserve"> </w:t>
      </w:r>
      <w:r>
        <w:t>V.</w:t>
      </w:r>
      <w:r>
        <w:rPr>
          <w:spacing w:val="-7"/>
        </w:rPr>
        <w:t xml:space="preserve"> </w:t>
      </w:r>
      <w:r>
        <w:t>(2019).</w:t>
      </w:r>
      <w:r>
        <w:rPr>
          <w:spacing w:val="-5"/>
        </w:rPr>
        <w:t xml:space="preserve"> </w:t>
      </w:r>
      <w:r>
        <w:t>Integrating</w:t>
      </w:r>
      <w:r>
        <w:rPr>
          <w:spacing w:val="-5"/>
        </w:rPr>
        <w:t xml:space="preserve"> </w:t>
      </w:r>
      <w:r>
        <w:t>Corporate</w:t>
      </w:r>
      <w:r>
        <w:rPr>
          <w:spacing w:val="-8"/>
        </w:rPr>
        <w:t xml:space="preserve"> </w:t>
      </w:r>
      <w:r>
        <w:t>Social</w:t>
      </w:r>
      <w:r>
        <w:rPr>
          <w:spacing w:val="1"/>
        </w:rPr>
        <w:t xml:space="preserve"> </w:t>
      </w:r>
      <w:r>
        <w:t>Responsibility</w:t>
      </w:r>
      <w:r>
        <w:rPr>
          <w:spacing w:val="1"/>
        </w:rPr>
        <w:t xml:space="preserve"> </w:t>
      </w:r>
      <w:r>
        <w:t>and</w:t>
      </w:r>
      <w:r>
        <w:rPr>
          <w:spacing w:val="1"/>
        </w:rPr>
        <w:t xml:space="preserve"> </w:t>
      </w:r>
      <w:r>
        <w:t>Financial</w:t>
      </w:r>
      <w:r>
        <w:rPr>
          <w:spacing w:val="1"/>
        </w:rPr>
        <w:t xml:space="preserve"> </w:t>
      </w:r>
      <w:r>
        <w:t>Performance.</w:t>
      </w:r>
      <w:r>
        <w:rPr>
          <w:spacing w:val="1"/>
        </w:rPr>
        <w:t xml:space="preserve"> </w:t>
      </w:r>
      <w:r>
        <w:rPr>
          <w:i/>
        </w:rPr>
        <w:t>Management</w:t>
      </w:r>
      <w:r>
        <w:rPr>
          <w:i/>
          <w:spacing w:val="1"/>
        </w:rPr>
        <w:t xml:space="preserve"> </w:t>
      </w:r>
      <w:r>
        <w:rPr>
          <w:i/>
        </w:rPr>
        <w:t>Decision</w:t>
      </w:r>
      <w:r>
        <w:t>,</w:t>
      </w:r>
      <w:r>
        <w:rPr>
          <w:spacing w:val="1"/>
        </w:rPr>
        <w:t xml:space="preserve"> </w:t>
      </w:r>
      <w:r>
        <w:rPr>
          <w:i/>
        </w:rPr>
        <w:t>57</w:t>
      </w:r>
      <w:r>
        <w:t>(2),</w:t>
      </w:r>
      <w:r>
        <w:rPr>
          <w:spacing w:val="1"/>
        </w:rPr>
        <w:t xml:space="preserve"> </w:t>
      </w:r>
      <w:r>
        <w:t>324–348.</w:t>
      </w:r>
      <w:r>
        <w:rPr>
          <w:spacing w:val="1"/>
        </w:rPr>
        <w:t xml:space="preserve"> </w:t>
      </w:r>
      <w:r>
        <w:t>https://doi.org/10.1108/MD-03-2018-0290</w:t>
      </w:r>
    </w:p>
    <w:p w14:paraId="671393D8" w14:textId="77777777" w:rsidR="00A07ECC" w:rsidRDefault="00BE4EBF">
      <w:pPr>
        <w:pStyle w:val="BodyText"/>
        <w:ind w:left="686" w:right="290" w:hanging="567"/>
        <w:jc w:val="both"/>
      </w:pPr>
      <w:proofErr w:type="spellStart"/>
      <w:r>
        <w:rPr>
          <w:spacing w:val="-1"/>
        </w:rPr>
        <w:t>Chakroun</w:t>
      </w:r>
      <w:proofErr w:type="spellEnd"/>
      <w:r>
        <w:rPr>
          <w:spacing w:val="-1"/>
        </w:rPr>
        <w:t>,</w:t>
      </w:r>
      <w:r>
        <w:rPr>
          <w:spacing w:val="-12"/>
        </w:rPr>
        <w:t xml:space="preserve"> </w:t>
      </w:r>
      <w:r>
        <w:t>R.,</w:t>
      </w:r>
      <w:r>
        <w:rPr>
          <w:spacing w:val="-13"/>
        </w:rPr>
        <w:t xml:space="preserve"> </w:t>
      </w:r>
      <w:proofErr w:type="spellStart"/>
      <w:r>
        <w:t>Matoussi</w:t>
      </w:r>
      <w:proofErr w:type="spellEnd"/>
      <w:r>
        <w:t>,</w:t>
      </w:r>
      <w:r>
        <w:rPr>
          <w:spacing w:val="-13"/>
        </w:rPr>
        <w:t xml:space="preserve"> </w:t>
      </w:r>
      <w:r>
        <w:t>H.,</w:t>
      </w:r>
      <w:r>
        <w:rPr>
          <w:spacing w:val="-13"/>
        </w:rPr>
        <w:t xml:space="preserve"> </w:t>
      </w:r>
      <w:r>
        <w:t>&amp;</w:t>
      </w:r>
      <w:r>
        <w:rPr>
          <w:spacing w:val="-11"/>
        </w:rPr>
        <w:t xml:space="preserve"> </w:t>
      </w:r>
      <w:proofErr w:type="spellStart"/>
      <w:r>
        <w:t>Mbirki</w:t>
      </w:r>
      <w:proofErr w:type="spellEnd"/>
      <w:r>
        <w:t>,</w:t>
      </w:r>
      <w:r>
        <w:rPr>
          <w:spacing w:val="-12"/>
        </w:rPr>
        <w:t xml:space="preserve"> </w:t>
      </w:r>
      <w:r>
        <w:t>S.</w:t>
      </w:r>
      <w:r>
        <w:rPr>
          <w:spacing w:val="-12"/>
        </w:rPr>
        <w:t xml:space="preserve"> </w:t>
      </w:r>
      <w:r>
        <w:t>(2017).</w:t>
      </w:r>
      <w:r>
        <w:rPr>
          <w:spacing w:val="-13"/>
        </w:rPr>
        <w:t xml:space="preserve"> </w:t>
      </w:r>
      <w:r>
        <w:t>Determinants</w:t>
      </w:r>
      <w:r>
        <w:rPr>
          <w:spacing w:val="-11"/>
        </w:rPr>
        <w:t xml:space="preserve"> </w:t>
      </w:r>
      <w:r>
        <w:t>of</w:t>
      </w:r>
      <w:r>
        <w:rPr>
          <w:spacing w:val="-13"/>
        </w:rPr>
        <w:t xml:space="preserve"> </w:t>
      </w:r>
      <w:r>
        <w:t>CSR</w:t>
      </w:r>
      <w:r>
        <w:rPr>
          <w:spacing w:val="-12"/>
        </w:rPr>
        <w:t xml:space="preserve"> </w:t>
      </w:r>
      <w:r>
        <w:t>Disclosure</w:t>
      </w:r>
      <w:r>
        <w:rPr>
          <w:spacing w:val="-15"/>
        </w:rPr>
        <w:t xml:space="preserve"> </w:t>
      </w:r>
      <w:r>
        <w:t>of</w:t>
      </w:r>
      <w:r>
        <w:rPr>
          <w:spacing w:val="-13"/>
        </w:rPr>
        <w:t xml:space="preserve"> </w:t>
      </w:r>
      <w:r>
        <w:t>Tunisian</w:t>
      </w:r>
      <w:r>
        <w:rPr>
          <w:spacing w:val="-11"/>
        </w:rPr>
        <w:t xml:space="preserve"> </w:t>
      </w:r>
      <w:r>
        <w:t>Listed</w:t>
      </w:r>
      <w:r>
        <w:rPr>
          <w:spacing w:val="-12"/>
        </w:rPr>
        <w:t xml:space="preserve"> </w:t>
      </w:r>
      <w:r>
        <w:t>Banks:</w:t>
      </w:r>
      <w:r>
        <w:rPr>
          <w:spacing w:val="-13"/>
        </w:rPr>
        <w:t xml:space="preserve"> </w:t>
      </w:r>
      <w:r>
        <w:t>A</w:t>
      </w:r>
      <w:r>
        <w:rPr>
          <w:spacing w:val="-14"/>
        </w:rPr>
        <w:t xml:space="preserve"> </w:t>
      </w:r>
      <w:r>
        <w:t>Multi-</w:t>
      </w:r>
      <w:r>
        <w:rPr>
          <w:spacing w:val="1"/>
        </w:rPr>
        <w:t xml:space="preserve"> </w:t>
      </w:r>
      <w:r>
        <w:t>Support</w:t>
      </w:r>
      <w:r>
        <w:rPr>
          <w:spacing w:val="-3"/>
        </w:rPr>
        <w:t xml:space="preserve"> </w:t>
      </w:r>
      <w:r>
        <w:t>Analysis.</w:t>
      </w:r>
      <w:r>
        <w:rPr>
          <w:spacing w:val="-5"/>
        </w:rPr>
        <w:t xml:space="preserve"> </w:t>
      </w:r>
      <w:r>
        <w:rPr>
          <w:i/>
        </w:rPr>
        <w:t>Social</w:t>
      </w:r>
      <w:r>
        <w:rPr>
          <w:i/>
          <w:spacing w:val="-3"/>
        </w:rPr>
        <w:t xml:space="preserve"> </w:t>
      </w:r>
      <w:r>
        <w:rPr>
          <w:i/>
        </w:rPr>
        <w:t>Responsibility</w:t>
      </w:r>
      <w:r>
        <w:rPr>
          <w:i/>
          <w:spacing w:val="-3"/>
        </w:rPr>
        <w:t xml:space="preserve"> </w:t>
      </w:r>
      <w:r>
        <w:rPr>
          <w:i/>
        </w:rPr>
        <w:t>Journal</w:t>
      </w:r>
      <w:r>
        <w:t>,</w:t>
      </w:r>
      <w:r>
        <w:rPr>
          <w:spacing w:val="-4"/>
        </w:rPr>
        <w:t xml:space="preserve"> </w:t>
      </w:r>
      <w:r>
        <w:rPr>
          <w:i/>
        </w:rPr>
        <w:t>13</w:t>
      </w:r>
      <w:r>
        <w:t>(3),</w:t>
      </w:r>
      <w:r>
        <w:rPr>
          <w:spacing w:val="-5"/>
        </w:rPr>
        <w:t xml:space="preserve"> </w:t>
      </w:r>
      <w:r>
        <w:t>552–584.</w:t>
      </w:r>
      <w:r>
        <w:rPr>
          <w:spacing w:val="-6"/>
        </w:rPr>
        <w:t xml:space="preserve"> </w:t>
      </w:r>
      <w:r>
        <w:t>https://doi.org/10.1108/SRJ-04-2016-0055</w:t>
      </w:r>
    </w:p>
    <w:p w14:paraId="751BC299" w14:textId="77777777" w:rsidR="00A07ECC" w:rsidRDefault="00BE4EBF">
      <w:pPr>
        <w:pStyle w:val="BodyText"/>
        <w:ind w:left="686" w:right="288" w:hanging="567"/>
        <w:jc w:val="both"/>
      </w:pPr>
      <w:proofErr w:type="spellStart"/>
      <w:r>
        <w:t>Chtourou</w:t>
      </w:r>
      <w:proofErr w:type="spellEnd"/>
      <w:r>
        <w:t xml:space="preserve">, H., &amp; </w:t>
      </w:r>
      <w:proofErr w:type="spellStart"/>
      <w:r>
        <w:t>Triki</w:t>
      </w:r>
      <w:proofErr w:type="spellEnd"/>
      <w:r>
        <w:t>, M. (2017). Commitment in Corporate Social Responsibility and Financial Performance: A</w:t>
      </w:r>
      <w:r>
        <w:rPr>
          <w:spacing w:val="1"/>
        </w:rPr>
        <w:t xml:space="preserve"> </w:t>
      </w:r>
      <w:r>
        <w:rPr>
          <w:spacing w:val="-1"/>
        </w:rPr>
        <w:t>Study</w:t>
      </w:r>
      <w:r>
        <w:rPr>
          <w:spacing w:val="-9"/>
        </w:rPr>
        <w:t xml:space="preserve"> </w:t>
      </w:r>
      <w:r>
        <w:rPr>
          <w:spacing w:val="-1"/>
        </w:rPr>
        <w:t>in</w:t>
      </w:r>
      <w:r>
        <w:rPr>
          <w:spacing w:val="-9"/>
        </w:rPr>
        <w:t xml:space="preserve"> </w:t>
      </w:r>
      <w:r>
        <w:rPr>
          <w:spacing w:val="-1"/>
        </w:rPr>
        <w:t>the</w:t>
      </w:r>
      <w:r>
        <w:rPr>
          <w:spacing w:val="-9"/>
        </w:rPr>
        <w:t xml:space="preserve"> </w:t>
      </w:r>
      <w:r>
        <w:t>Tunisian</w:t>
      </w:r>
      <w:r>
        <w:rPr>
          <w:spacing w:val="-12"/>
        </w:rPr>
        <w:t xml:space="preserve"> </w:t>
      </w:r>
      <w:r>
        <w:t>Context.</w:t>
      </w:r>
      <w:r>
        <w:rPr>
          <w:spacing w:val="-8"/>
        </w:rPr>
        <w:t xml:space="preserve"> </w:t>
      </w:r>
      <w:r>
        <w:rPr>
          <w:i/>
        </w:rPr>
        <w:t>Social</w:t>
      </w:r>
      <w:r>
        <w:rPr>
          <w:i/>
          <w:spacing w:val="-10"/>
        </w:rPr>
        <w:t xml:space="preserve"> </w:t>
      </w:r>
      <w:r>
        <w:rPr>
          <w:i/>
        </w:rPr>
        <w:t>Responsibility</w:t>
      </w:r>
      <w:r>
        <w:rPr>
          <w:i/>
          <w:spacing w:val="-9"/>
        </w:rPr>
        <w:t xml:space="preserve"> </w:t>
      </w:r>
      <w:r>
        <w:rPr>
          <w:i/>
        </w:rPr>
        <w:t>Journal</w:t>
      </w:r>
      <w:r>
        <w:t>,</w:t>
      </w:r>
      <w:r>
        <w:rPr>
          <w:spacing w:val="-10"/>
        </w:rPr>
        <w:t xml:space="preserve"> </w:t>
      </w:r>
      <w:r>
        <w:rPr>
          <w:i/>
        </w:rPr>
        <w:t>13</w:t>
      </w:r>
      <w:r>
        <w:t>(2),</w:t>
      </w:r>
      <w:r>
        <w:rPr>
          <w:spacing w:val="-10"/>
        </w:rPr>
        <w:t xml:space="preserve"> </w:t>
      </w:r>
      <w:r>
        <w:t>370–389.</w:t>
      </w:r>
      <w:r>
        <w:rPr>
          <w:spacing w:val="-10"/>
        </w:rPr>
        <w:t xml:space="preserve"> </w:t>
      </w:r>
      <w:r>
        <w:t>https://doi.org/10.1108/SRJ-05-</w:t>
      </w:r>
      <w:r>
        <w:rPr>
          <w:spacing w:val="1"/>
        </w:rPr>
        <w:t xml:space="preserve"> </w:t>
      </w:r>
      <w:r>
        <w:t>2016-0079</w:t>
      </w:r>
    </w:p>
    <w:p w14:paraId="45054E75" w14:textId="77777777" w:rsidR="00A07ECC" w:rsidRDefault="00BE4EBF">
      <w:pPr>
        <w:pStyle w:val="BodyText"/>
        <w:tabs>
          <w:tab w:val="left" w:pos="2369"/>
          <w:tab w:val="left" w:pos="3279"/>
          <w:tab w:val="left" w:pos="4833"/>
          <w:tab w:val="left" w:pos="6657"/>
          <w:tab w:val="left" w:pos="8093"/>
          <w:tab w:val="left" w:pos="9283"/>
        </w:tabs>
        <w:ind w:left="686" w:right="291" w:hanging="567"/>
        <w:jc w:val="both"/>
      </w:pPr>
      <w:r>
        <w:t xml:space="preserve">Cormier, D., Ledoux, M., &amp; </w:t>
      </w:r>
      <w:proofErr w:type="spellStart"/>
      <w:r>
        <w:t>Magnan</w:t>
      </w:r>
      <w:proofErr w:type="spellEnd"/>
      <w:r>
        <w:t>, M. (2011). The Informational Contribution of Social and Environmental</w:t>
      </w:r>
      <w:r>
        <w:rPr>
          <w:spacing w:val="1"/>
        </w:rPr>
        <w:t xml:space="preserve"> </w:t>
      </w:r>
      <w:r>
        <w:t>Disclosures</w:t>
      </w:r>
      <w:r>
        <w:tab/>
        <w:t>for</w:t>
      </w:r>
      <w:r>
        <w:tab/>
        <w:t>Investors.</w:t>
      </w:r>
      <w:r>
        <w:tab/>
      </w:r>
      <w:r>
        <w:rPr>
          <w:i/>
        </w:rPr>
        <w:t>Management</w:t>
      </w:r>
      <w:r>
        <w:rPr>
          <w:i/>
        </w:rPr>
        <w:tab/>
        <w:t>Decision</w:t>
      </w:r>
      <w:r>
        <w:t>,</w:t>
      </w:r>
      <w:r>
        <w:tab/>
      </w:r>
      <w:r>
        <w:rPr>
          <w:i/>
        </w:rPr>
        <w:t>49</w:t>
      </w:r>
      <w:r>
        <w:t>(8),</w:t>
      </w:r>
      <w:r>
        <w:tab/>
      </w:r>
      <w:r>
        <w:rPr>
          <w:spacing w:val="-1"/>
        </w:rPr>
        <w:t>1276–1304.</w:t>
      </w:r>
      <w:r>
        <w:rPr>
          <w:spacing w:val="-46"/>
        </w:rPr>
        <w:t xml:space="preserve"> </w:t>
      </w:r>
      <w:r>
        <w:t>https://doi.org/10.1108/00251741111163124</w:t>
      </w:r>
    </w:p>
    <w:p w14:paraId="779FC77A" w14:textId="77777777" w:rsidR="00A07ECC" w:rsidRDefault="00BE4EBF">
      <w:pPr>
        <w:pStyle w:val="BodyText"/>
        <w:ind w:left="686" w:right="292" w:hanging="567"/>
        <w:jc w:val="both"/>
      </w:pPr>
      <w:r>
        <w:t>de Villiers, C., &amp; Marques, A. (2016). Corporate Social Responsibility, Country-Level Predispositions, and the</w:t>
      </w:r>
      <w:r>
        <w:rPr>
          <w:spacing w:val="1"/>
        </w:rPr>
        <w:t xml:space="preserve"> </w:t>
      </w:r>
      <w:r>
        <w:lastRenderedPageBreak/>
        <w:t xml:space="preserve">Consequences of Choosing a Level of Disclosure. </w:t>
      </w:r>
      <w:r>
        <w:rPr>
          <w:i/>
        </w:rPr>
        <w:t>Accounting and Business Research</w:t>
      </w:r>
      <w:r>
        <w:t xml:space="preserve">, </w:t>
      </w:r>
      <w:r>
        <w:rPr>
          <w:i/>
        </w:rPr>
        <w:t>46</w:t>
      </w:r>
      <w:r>
        <w:t>(2), 167–195.</w:t>
      </w:r>
      <w:r>
        <w:rPr>
          <w:spacing w:val="1"/>
        </w:rPr>
        <w:t xml:space="preserve"> </w:t>
      </w:r>
      <w:r>
        <w:t>https://doi.org/10.1080/00014788.2015.1039476</w:t>
      </w:r>
    </w:p>
    <w:p w14:paraId="47B47F84" w14:textId="77777777" w:rsidR="00A07ECC" w:rsidRDefault="00BE4EBF">
      <w:pPr>
        <w:pStyle w:val="BodyText"/>
        <w:ind w:left="686" w:right="294" w:hanging="567"/>
        <w:jc w:val="both"/>
      </w:pPr>
      <w:r>
        <w:t>Duff, A. (2017). Corporate Social Responsibility as a Legitimacy Maintenance Strategy in the Professional</w:t>
      </w:r>
      <w:r>
        <w:rPr>
          <w:spacing w:val="1"/>
        </w:rPr>
        <w:t xml:space="preserve"> </w:t>
      </w:r>
      <w:r>
        <w:t>Accountancy</w:t>
      </w:r>
      <w:r>
        <w:rPr>
          <w:spacing w:val="-11"/>
        </w:rPr>
        <w:t xml:space="preserve"> </w:t>
      </w:r>
      <w:r>
        <w:t>Firm.</w:t>
      </w:r>
      <w:r>
        <w:rPr>
          <w:spacing w:val="-11"/>
        </w:rPr>
        <w:t xml:space="preserve"> </w:t>
      </w:r>
      <w:r>
        <w:rPr>
          <w:i/>
        </w:rPr>
        <w:t>The</w:t>
      </w:r>
      <w:r>
        <w:rPr>
          <w:i/>
          <w:spacing w:val="-8"/>
        </w:rPr>
        <w:t xml:space="preserve"> </w:t>
      </w:r>
      <w:r>
        <w:rPr>
          <w:i/>
        </w:rPr>
        <w:t>British</w:t>
      </w:r>
      <w:r>
        <w:rPr>
          <w:i/>
          <w:spacing w:val="-10"/>
        </w:rPr>
        <w:t xml:space="preserve"> </w:t>
      </w:r>
      <w:r>
        <w:rPr>
          <w:i/>
        </w:rPr>
        <w:t>Accounting</w:t>
      </w:r>
      <w:r>
        <w:rPr>
          <w:i/>
          <w:spacing w:val="-11"/>
        </w:rPr>
        <w:t xml:space="preserve"> </w:t>
      </w:r>
      <w:r>
        <w:rPr>
          <w:i/>
        </w:rPr>
        <w:t>Review</w:t>
      </w:r>
      <w:r>
        <w:t>,</w:t>
      </w:r>
      <w:r>
        <w:rPr>
          <w:spacing w:val="-11"/>
        </w:rPr>
        <w:t xml:space="preserve"> </w:t>
      </w:r>
      <w:r>
        <w:rPr>
          <w:i/>
        </w:rPr>
        <w:t>49</w:t>
      </w:r>
      <w:r>
        <w:t>(6),</w:t>
      </w:r>
      <w:r>
        <w:rPr>
          <w:spacing w:val="-10"/>
        </w:rPr>
        <w:t xml:space="preserve"> </w:t>
      </w:r>
      <w:r>
        <w:t>513–531.</w:t>
      </w:r>
      <w:r>
        <w:rPr>
          <w:spacing w:val="-12"/>
        </w:rPr>
        <w:t xml:space="preserve"> </w:t>
      </w:r>
      <w:r>
        <w:t>https://doi.org/10.1016/j.bar.2017.08.001</w:t>
      </w:r>
    </w:p>
    <w:p w14:paraId="728CCFE1" w14:textId="77777777" w:rsidR="00A07ECC" w:rsidRDefault="00BE4EBF">
      <w:pPr>
        <w:pStyle w:val="BodyText"/>
        <w:ind w:left="686" w:right="291" w:hanging="567"/>
        <w:jc w:val="both"/>
      </w:pPr>
      <w:r>
        <w:t>El</w:t>
      </w:r>
      <w:r>
        <w:rPr>
          <w:spacing w:val="-8"/>
        </w:rPr>
        <w:t xml:space="preserve"> </w:t>
      </w:r>
      <w:r>
        <w:t>Ghoul,</w:t>
      </w:r>
      <w:r>
        <w:rPr>
          <w:spacing w:val="-9"/>
        </w:rPr>
        <w:t xml:space="preserve"> </w:t>
      </w:r>
      <w:r>
        <w:t>S.,</w:t>
      </w:r>
      <w:r>
        <w:rPr>
          <w:spacing w:val="-9"/>
        </w:rPr>
        <w:t xml:space="preserve"> </w:t>
      </w:r>
      <w:proofErr w:type="spellStart"/>
      <w:r>
        <w:t>Guedhami</w:t>
      </w:r>
      <w:proofErr w:type="spellEnd"/>
      <w:r>
        <w:t>,</w:t>
      </w:r>
      <w:r>
        <w:rPr>
          <w:spacing w:val="-9"/>
        </w:rPr>
        <w:t xml:space="preserve"> </w:t>
      </w:r>
      <w:r>
        <w:t>O.,</w:t>
      </w:r>
      <w:r>
        <w:rPr>
          <w:spacing w:val="-11"/>
        </w:rPr>
        <w:t xml:space="preserve"> </w:t>
      </w:r>
      <w:r>
        <w:t>Kwok,</w:t>
      </w:r>
      <w:r>
        <w:rPr>
          <w:spacing w:val="-9"/>
        </w:rPr>
        <w:t xml:space="preserve"> </w:t>
      </w:r>
      <w:r>
        <w:t>C.</w:t>
      </w:r>
      <w:r>
        <w:rPr>
          <w:spacing w:val="-9"/>
        </w:rPr>
        <w:t xml:space="preserve"> </w:t>
      </w:r>
      <w:r>
        <w:t>C.</w:t>
      </w:r>
      <w:r>
        <w:rPr>
          <w:spacing w:val="-9"/>
        </w:rPr>
        <w:t xml:space="preserve"> </w:t>
      </w:r>
      <w:r>
        <w:t>Y.,</w:t>
      </w:r>
      <w:r>
        <w:rPr>
          <w:spacing w:val="-9"/>
        </w:rPr>
        <w:t xml:space="preserve"> </w:t>
      </w:r>
      <w:r>
        <w:t>&amp;</w:t>
      </w:r>
      <w:r>
        <w:rPr>
          <w:spacing w:val="-8"/>
        </w:rPr>
        <w:t xml:space="preserve"> </w:t>
      </w:r>
      <w:r>
        <w:t>Mishra,</w:t>
      </w:r>
      <w:r>
        <w:rPr>
          <w:spacing w:val="-9"/>
        </w:rPr>
        <w:t xml:space="preserve"> </w:t>
      </w:r>
      <w:r>
        <w:t>D.</w:t>
      </w:r>
      <w:r>
        <w:rPr>
          <w:spacing w:val="-9"/>
        </w:rPr>
        <w:t xml:space="preserve"> </w:t>
      </w:r>
      <w:r>
        <w:t>R.</w:t>
      </w:r>
      <w:r>
        <w:rPr>
          <w:spacing w:val="-9"/>
        </w:rPr>
        <w:t xml:space="preserve"> </w:t>
      </w:r>
      <w:r>
        <w:t>(2011).</w:t>
      </w:r>
      <w:r>
        <w:rPr>
          <w:spacing w:val="-8"/>
        </w:rPr>
        <w:t xml:space="preserve"> </w:t>
      </w:r>
      <w:r>
        <w:t>Does</w:t>
      </w:r>
      <w:r>
        <w:rPr>
          <w:spacing w:val="-8"/>
        </w:rPr>
        <w:t xml:space="preserve"> </w:t>
      </w:r>
      <w:r>
        <w:t>Corporate</w:t>
      </w:r>
      <w:r>
        <w:rPr>
          <w:spacing w:val="-12"/>
        </w:rPr>
        <w:t xml:space="preserve"> </w:t>
      </w:r>
      <w:r>
        <w:t>Social</w:t>
      </w:r>
      <w:r>
        <w:rPr>
          <w:spacing w:val="-9"/>
        </w:rPr>
        <w:t xml:space="preserve"> </w:t>
      </w:r>
      <w:r>
        <w:t>Responsibility</w:t>
      </w:r>
      <w:r>
        <w:rPr>
          <w:spacing w:val="-8"/>
        </w:rPr>
        <w:t xml:space="preserve"> </w:t>
      </w:r>
      <w:r>
        <w:t>Affect</w:t>
      </w:r>
      <w:r>
        <w:rPr>
          <w:spacing w:val="-9"/>
        </w:rPr>
        <w:t xml:space="preserve"> </w:t>
      </w:r>
      <w:r>
        <w:t>the</w:t>
      </w:r>
      <w:r>
        <w:rPr>
          <w:spacing w:val="1"/>
        </w:rPr>
        <w:t xml:space="preserve"> </w:t>
      </w:r>
      <w:r>
        <w:t>Cost</w:t>
      </w:r>
      <w:r>
        <w:rPr>
          <w:spacing w:val="1"/>
        </w:rPr>
        <w:t xml:space="preserve"> </w:t>
      </w:r>
      <w:r>
        <w:t>of</w:t>
      </w:r>
      <w:r>
        <w:rPr>
          <w:spacing w:val="1"/>
        </w:rPr>
        <w:t xml:space="preserve"> </w:t>
      </w:r>
      <w:r>
        <w:t>Capital?</w:t>
      </w:r>
      <w:r>
        <w:rPr>
          <w:spacing w:val="1"/>
        </w:rPr>
        <w:t xml:space="preserve"> </w:t>
      </w:r>
      <w:r>
        <w:rPr>
          <w:i/>
        </w:rPr>
        <w:t>Journal</w:t>
      </w:r>
      <w:r>
        <w:rPr>
          <w:i/>
          <w:spacing w:val="1"/>
        </w:rPr>
        <w:t xml:space="preserve"> </w:t>
      </w:r>
      <w:r>
        <w:rPr>
          <w:i/>
        </w:rPr>
        <w:t>of</w:t>
      </w:r>
      <w:r>
        <w:rPr>
          <w:i/>
          <w:spacing w:val="1"/>
        </w:rPr>
        <w:t xml:space="preserve"> </w:t>
      </w:r>
      <w:r>
        <w:rPr>
          <w:i/>
        </w:rPr>
        <w:t>Banking</w:t>
      </w:r>
      <w:r>
        <w:rPr>
          <w:i/>
          <w:spacing w:val="1"/>
        </w:rPr>
        <w:t xml:space="preserve"> </w:t>
      </w:r>
      <w:r>
        <w:rPr>
          <w:i/>
        </w:rPr>
        <w:t>and</w:t>
      </w:r>
      <w:r>
        <w:rPr>
          <w:i/>
          <w:spacing w:val="1"/>
        </w:rPr>
        <w:t xml:space="preserve"> </w:t>
      </w:r>
      <w:r>
        <w:rPr>
          <w:i/>
        </w:rPr>
        <w:t>Finance</w:t>
      </w:r>
      <w:r>
        <w:t>,</w:t>
      </w:r>
      <w:r>
        <w:rPr>
          <w:spacing w:val="1"/>
        </w:rPr>
        <w:t xml:space="preserve"> </w:t>
      </w:r>
      <w:r>
        <w:rPr>
          <w:i/>
        </w:rPr>
        <w:t>35</w:t>
      </w:r>
      <w:r>
        <w:t>(9),</w:t>
      </w:r>
      <w:r>
        <w:rPr>
          <w:spacing w:val="1"/>
        </w:rPr>
        <w:t xml:space="preserve"> </w:t>
      </w:r>
      <w:r>
        <w:t>2388–2406.</w:t>
      </w:r>
      <w:r>
        <w:rPr>
          <w:spacing w:val="1"/>
        </w:rPr>
        <w:t xml:space="preserve"> </w:t>
      </w:r>
      <w:r>
        <w:t>https://doi.org/10.1016/j.jbankfin.2011.02.007</w:t>
      </w:r>
    </w:p>
    <w:p w14:paraId="1F0FDE48" w14:textId="77777777" w:rsidR="00A07ECC" w:rsidRDefault="00A07ECC">
      <w:pPr>
        <w:jc w:val="both"/>
        <w:sectPr w:rsidR="00A07ECC">
          <w:headerReference w:type="default" r:id="rId12"/>
          <w:footerReference w:type="default" r:id="rId13"/>
          <w:pgSz w:w="11910" w:h="16840"/>
          <w:pgMar w:top="1180" w:right="660" w:bottom="880" w:left="680" w:header="903" w:footer="696" w:gutter="0"/>
          <w:cols w:space="720"/>
        </w:sectPr>
      </w:pPr>
    </w:p>
    <w:p w14:paraId="3ECF273B" w14:textId="77777777" w:rsidR="00A07ECC" w:rsidRDefault="00A07ECC">
      <w:pPr>
        <w:pStyle w:val="BodyText"/>
        <w:rPr>
          <w:sz w:val="20"/>
        </w:rPr>
      </w:pPr>
    </w:p>
    <w:p w14:paraId="2C20C951" w14:textId="77777777" w:rsidR="00A07ECC" w:rsidRDefault="00A07ECC">
      <w:pPr>
        <w:pStyle w:val="BodyText"/>
        <w:spacing w:before="5"/>
        <w:rPr>
          <w:sz w:val="29"/>
        </w:rPr>
      </w:pPr>
    </w:p>
    <w:p w14:paraId="00D7FBD3" w14:textId="77777777" w:rsidR="00A07ECC" w:rsidRDefault="00BE4EBF">
      <w:pPr>
        <w:spacing w:before="51"/>
        <w:ind w:left="844" w:right="134" w:hanging="567"/>
        <w:jc w:val="both"/>
      </w:pPr>
      <w:proofErr w:type="spellStart"/>
      <w:r>
        <w:t>Giannarakis</w:t>
      </w:r>
      <w:proofErr w:type="spellEnd"/>
      <w:r>
        <w:t>,</w:t>
      </w:r>
      <w:r>
        <w:rPr>
          <w:spacing w:val="-5"/>
        </w:rPr>
        <w:t xml:space="preserve"> </w:t>
      </w:r>
      <w:r>
        <w:t>G.</w:t>
      </w:r>
      <w:r>
        <w:rPr>
          <w:spacing w:val="-2"/>
        </w:rPr>
        <w:t xml:space="preserve"> </w:t>
      </w:r>
      <w:r>
        <w:t>(2014).</w:t>
      </w:r>
      <w:r>
        <w:rPr>
          <w:spacing w:val="-1"/>
        </w:rPr>
        <w:t xml:space="preserve"> </w:t>
      </w:r>
      <w:r>
        <w:t>The</w:t>
      </w:r>
      <w:r>
        <w:rPr>
          <w:spacing w:val="-4"/>
        </w:rPr>
        <w:t xml:space="preserve"> </w:t>
      </w:r>
      <w:r>
        <w:t>Determinants</w:t>
      </w:r>
      <w:r>
        <w:rPr>
          <w:spacing w:val="-3"/>
        </w:rPr>
        <w:t xml:space="preserve"> </w:t>
      </w:r>
      <w:r>
        <w:t>Influencing</w:t>
      </w:r>
      <w:r>
        <w:rPr>
          <w:spacing w:val="-3"/>
        </w:rPr>
        <w:t xml:space="preserve"> </w:t>
      </w:r>
      <w:r>
        <w:t>the</w:t>
      </w:r>
      <w:r>
        <w:rPr>
          <w:spacing w:val="-1"/>
        </w:rPr>
        <w:t xml:space="preserve"> </w:t>
      </w:r>
      <w:r>
        <w:t>Extent</w:t>
      </w:r>
      <w:r>
        <w:rPr>
          <w:spacing w:val="-5"/>
        </w:rPr>
        <w:t xml:space="preserve"> </w:t>
      </w:r>
      <w:r>
        <w:t>of</w:t>
      </w:r>
      <w:r>
        <w:rPr>
          <w:spacing w:val="-4"/>
        </w:rPr>
        <w:t xml:space="preserve"> </w:t>
      </w:r>
      <w:r>
        <w:t>CSR</w:t>
      </w:r>
      <w:r>
        <w:rPr>
          <w:spacing w:val="-3"/>
        </w:rPr>
        <w:t xml:space="preserve"> </w:t>
      </w:r>
      <w:r>
        <w:t xml:space="preserve">Disclosure. </w:t>
      </w:r>
      <w:r>
        <w:rPr>
          <w:i/>
        </w:rPr>
        <w:t>International</w:t>
      </w:r>
      <w:r>
        <w:rPr>
          <w:i/>
          <w:spacing w:val="-2"/>
        </w:rPr>
        <w:t xml:space="preserve"> </w:t>
      </w:r>
      <w:r>
        <w:rPr>
          <w:i/>
        </w:rPr>
        <w:t>Journal</w:t>
      </w:r>
      <w:r>
        <w:rPr>
          <w:i/>
          <w:spacing w:val="-6"/>
        </w:rPr>
        <w:t xml:space="preserve"> </w:t>
      </w:r>
      <w:r>
        <w:rPr>
          <w:i/>
        </w:rPr>
        <w:t>of</w:t>
      </w:r>
      <w:r>
        <w:rPr>
          <w:i/>
          <w:spacing w:val="-3"/>
        </w:rPr>
        <w:t xml:space="preserve"> </w:t>
      </w:r>
      <w:r>
        <w:rPr>
          <w:i/>
        </w:rPr>
        <w:t>Law</w:t>
      </w:r>
      <w:r>
        <w:rPr>
          <w:i/>
          <w:spacing w:val="-43"/>
        </w:rPr>
        <w:t xml:space="preserve"> </w:t>
      </w:r>
      <w:r>
        <w:rPr>
          <w:i/>
        </w:rPr>
        <w:t>and</w:t>
      </w:r>
      <w:r>
        <w:rPr>
          <w:i/>
          <w:spacing w:val="-3"/>
        </w:rPr>
        <w:t xml:space="preserve"> </w:t>
      </w:r>
      <w:r>
        <w:rPr>
          <w:i/>
        </w:rPr>
        <w:t>Management</w:t>
      </w:r>
      <w:r>
        <w:t>,</w:t>
      </w:r>
      <w:r>
        <w:rPr>
          <w:spacing w:val="-1"/>
        </w:rPr>
        <w:t xml:space="preserve"> </w:t>
      </w:r>
      <w:r>
        <w:rPr>
          <w:i/>
        </w:rPr>
        <w:t>56</w:t>
      </w:r>
      <w:r>
        <w:t>(5),</w:t>
      </w:r>
      <w:r>
        <w:rPr>
          <w:spacing w:val="-1"/>
        </w:rPr>
        <w:t xml:space="preserve"> </w:t>
      </w:r>
      <w:r>
        <w:t>393–416. https://doi.org/10.1108/IJLMA-05-2013-0021</w:t>
      </w:r>
    </w:p>
    <w:p w14:paraId="78E4877E" w14:textId="77777777" w:rsidR="00A07ECC" w:rsidRDefault="00BE4EBF">
      <w:pPr>
        <w:spacing w:line="267" w:lineRule="exact"/>
        <w:ind w:left="277"/>
        <w:jc w:val="both"/>
      </w:pPr>
      <w:r>
        <w:t>GRI.</w:t>
      </w:r>
      <w:r>
        <w:rPr>
          <w:spacing w:val="-4"/>
        </w:rPr>
        <w:t xml:space="preserve"> </w:t>
      </w:r>
      <w:r>
        <w:t>(2013).</w:t>
      </w:r>
      <w:r>
        <w:rPr>
          <w:spacing w:val="-3"/>
        </w:rPr>
        <w:t xml:space="preserve"> </w:t>
      </w:r>
      <w:r>
        <w:rPr>
          <w:i/>
        </w:rPr>
        <w:t>G4</w:t>
      </w:r>
      <w:r>
        <w:rPr>
          <w:i/>
          <w:spacing w:val="-2"/>
        </w:rPr>
        <w:t xml:space="preserve"> </w:t>
      </w:r>
      <w:r>
        <w:rPr>
          <w:i/>
        </w:rPr>
        <w:t>Sustainability</w:t>
      </w:r>
      <w:r>
        <w:rPr>
          <w:i/>
          <w:spacing w:val="-3"/>
        </w:rPr>
        <w:t xml:space="preserve"> </w:t>
      </w:r>
      <w:r>
        <w:rPr>
          <w:i/>
        </w:rPr>
        <w:t>Reporting</w:t>
      </w:r>
      <w:r>
        <w:rPr>
          <w:i/>
          <w:spacing w:val="-2"/>
        </w:rPr>
        <w:t xml:space="preserve"> </w:t>
      </w:r>
      <w:r>
        <w:rPr>
          <w:i/>
        </w:rPr>
        <w:t>Guidelines</w:t>
      </w:r>
      <w:r>
        <w:t>.</w:t>
      </w:r>
      <w:r>
        <w:rPr>
          <w:spacing w:val="-3"/>
        </w:rPr>
        <w:t xml:space="preserve"> </w:t>
      </w:r>
      <w:r>
        <w:t>Amsterdam:</w:t>
      </w:r>
      <w:r>
        <w:rPr>
          <w:spacing w:val="-3"/>
        </w:rPr>
        <w:t xml:space="preserve"> </w:t>
      </w:r>
      <w:r>
        <w:t>Global</w:t>
      </w:r>
      <w:r>
        <w:rPr>
          <w:spacing w:val="-2"/>
        </w:rPr>
        <w:t xml:space="preserve"> </w:t>
      </w:r>
      <w:r>
        <w:t>Reporting</w:t>
      </w:r>
      <w:r>
        <w:rPr>
          <w:spacing w:val="-2"/>
        </w:rPr>
        <w:t xml:space="preserve"> </w:t>
      </w:r>
      <w:r>
        <w:t>Initiative.</w:t>
      </w:r>
    </w:p>
    <w:p w14:paraId="722EF5AA" w14:textId="77777777" w:rsidR="00A07ECC" w:rsidRDefault="00BE4EBF">
      <w:pPr>
        <w:ind w:left="844" w:right="137" w:hanging="567"/>
        <w:jc w:val="both"/>
      </w:pPr>
      <w:r>
        <w:t>Hasan, R., &amp; Yun, T. M. (2017). Theoretical Linkage between Corporate Social Responsibility and Corporate</w:t>
      </w:r>
      <w:r>
        <w:rPr>
          <w:spacing w:val="1"/>
        </w:rPr>
        <w:t xml:space="preserve"> </w:t>
      </w:r>
      <w:r>
        <w:t>Reputation.</w:t>
      </w:r>
      <w:r>
        <w:rPr>
          <w:spacing w:val="1"/>
        </w:rPr>
        <w:t xml:space="preserve"> </w:t>
      </w:r>
      <w:r>
        <w:rPr>
          <w:i/>
        </w:rPr>
        <w:t>Indonesian</w:t>
      </w:r>
      <w:r>
        <w:rPr>
          <w:i/>
          <w:spacing w:val="1"/>
        </w:rPr>
        <w:t xml:space="preserve"> </w:t>
      </w:r>
      <w:r>
        <w:rPr>
          <w:i/>
        </w:rPr>
        <w:t>Journal</w:t>
      </w:r>
      <w:r>
        <w:rPr>
          <w:i/>
          <w:spacing w:val="1"/>
        </w:rPr>
        <w:t xml:space="preserve"> </w:t>
      </w:r>
      <w:r>
        <w:rPr>
          <w:i/>
        </w:rPr>
        <w:t>of</w:t>
      </w:r>
      <w:r>
        <w:rPr>
          <w:i/>
          <w:spacing w:val="1"/>
        </w:rPr>
        <w:t xml:space="preserve"> </w:t>
      </w:r>
      <w:r>
        <w:rPr>
          <w:i/>
        </w:rPr>
        <w:t>Sustainability</w:t>
      </w:r>
      <w:r>
        <w:rPr>
          <w:i/>
          <w:spacing w:val="1"/>
        </w:rPr>
        <w:t xml:space="preserve"> </w:t>
      </w:r>
      <w:r>
        <w:rPr>
          <w:i/>
        </w:rPr>
        <w:t>Accounting</w:t>
      </w:r>
      <w:r>
        <w:rPr>
          <w:i/>
          <w:spacing w:val="1"/>
        </w:rPr>
        <w:t xml:space="preserve"> </w:t>
      </w:r>
      <w:r>
        <w:rPr>
          <w:i/>
        </w:rPr>
        <w:t>and</w:t>
      </w:r>
      <w:r>
        <w:rPr>
          <w:i/>
          <w:spacing w:val="1"/>
        </w:rPr>
        <w:t xml:space="preserve"> </w:t>
      </w:r>
      <w:r>
        <w:rPr>
          <w:i/>
        </w:rPr>
        <w:t>Management</w:t>
      </w:r>
      <w:r>
        <w:t>,</w:t>
      </w:r>
      <w:r>
        <w:rPr>
          <w:spacing w:val="1"/>
        </w:rPr>
        <w:t xml:space="preserve"> </w:t>
      </w:r>
      <w:r>
        <w:rPr>
          <w:i/>
        </w:rPr>
        <w:t>1</w:t>
      </w:r>
      <w:r>
        <w:t>(2),</w:t>
      </w:r>
      <w:r>
        <w:rPr>
          <w:spacing w:val="1"/>
        </w:rPr>
        <w:t xml:space="preserve"> </w:t>
      </w:r>
      <w:r>
        <w:t>80–89.</w:t>
      </w:r>
      <w:r>
        <w:rPr>
          <w:spacing w:val="1"/>
        </w:rPr>
        <w:t xml:space="preserve"> </w:t>
      </w:r>
      <w:r>
        <w:t>https://doi.org/10.28992/ijsam.v1i2.32</w:t>
      </w:r>
    </w:p>
    <w:p w14:paraId="0E93811C" w14:textId="77777777" w:rsidR="00A07ECC" w:rsidRDefault="00BE4EBF">
      <w:pPr>
        <w:pStyle w:val="BodyText"/>
        <w:spacing w:before="1"/>
        <w:ind w:left="277"/>
        <w:jc w:val="both"/>
      </w:pPr>
      <w:r>
        <w:t>Hsu,</w:t>
      </w:r>
      <w:r>
        <w:rPr>
          <w:spacing w:val="36"/>
        </w:rPr>
        <w:t xml:space="preserve"> </w:t>
      </w:r>
      <w:r>
        <w:t>F.</w:t>
      </w:r>
      <w:r>
        <w:rPr>
          <w:spacing w:val="36"/>
        </w:rPr>
        <w:t xml:space="preserve"> </w:t>
      </w:r>
      <w:r>
        <w:t>J.,</w:t>
      </w:r>
      <w:r>
        <w:rPr>
          <w:spacing w:val="36"/>
        </w:rPr>
        <w:t xml:space="preserve"> </w:t>
      </w:r>
      <w:r>
        <w:t>&amp;</w:t>
      </w:r>
      <w:r>
        <w:rPr>
          <w:spacing w:val="35"/>
        </w:rPr>
        <w:t xml:space="preserve"> </w:t>
      </w:r>
      <w:r>
        <w:t>Chen,</w:t>
      </w:r>
      <w:r>
        <w:rPr>
          <w:spacing w:val="35"/>
        </w:rPr>
        <w:t xml:space="preserve"> </w:t>
      </w:r>
      <w:r>
        <w:t>Y.-C.</w:t>
      </w:r>
      <w:r>
        <w:rPr>
          <w:spacing w:val="36"/>
        </w:rPr>
        <w:t xml:space="preserve"> </w:t>
      </w:r>
      <w:r>
        <w:t>(2015).</w:t>
      </w:r>
      <w:r>
        <w:rPr>
          <w:spacing w:val="36"/>
        </w:rPr>
        <w:t xml:space="preserve"> </w:t>
      </w:r>
      <w:r>
        <w:t>Is</w:t>
      </w:r>
      <w:r>
        <w:rPr>
          <w:spacing w:val="37"/>
        </w:rPr>
        <w:t xml:space="preserve"> </w:t>
      </w:r>
      <w:r>
        <w:t>a</w:t>
      </w:r>
      <w:r>
        <w:rPr>
          <w:spacing w:val="36"/>
        </w:rPr>
        <w:t xml:space="preserve"> </w:t>
      </w:r>
      <w:r>
        <w:t>Firm’s</w:t>
      </w:r>
      <w:r>
        <w:rPr>
          <w:spacing w:val="38"/>
        </w:rPr>
        <w:t xml:space="preserve"> </w:t>
      </w:r>
      <w:r>
        <w:t>Financial</w:t>
      </w:r>
      <w:r>
        <w:rPr>
          <w:spacing w:val="36"/>
        </w:rPr>
        <w:t xml:space="preserve"> </w:t>
      </w:r>
      <w:r>
        <w:t>Risk</w:t>
      </w:r>
      <w:r>
        <w:rPr>
          <w:spacing w:val="34"/>
        </w:rPr>
        <w:t xml:space="preserve"> </w:t>
      </w:r>
      <w:r>
        <w:t>Associated</w:t>
      </w:r>
      <w:r>
        <w:rPr>
          <w:spacing w:val="37"/>
        </w:rPr>
        <w:t xml:space="preserve"> </w:t>
      </w:r>
      <w:r>
        <w:t>with</w:t>
      </w:r>
      <w:r>
        <w:rPr>
          <w:spacing w:val="37"/>
        </w:rPr>
        <w:t xml:space="preserve"> </w:t>
      </w:r>
      <w:r>
        <w:t>Corporate</w:t>
      </w:r>
      <w:r>
        <w:rPr>
          <w:spacing w:val="36"/>
        </w:rPr>
        <w:t xml:space="preserve"> </w:t>
      </w:r>
      <w:r>
        <w:t>Social</w:t>
      </w:r>
      <w:r>
        <w:rPr>
          <w:spacing w:val="33"/>
        </w:rPr>
        <w:t xml:space="preserve"> </w:t>
      </w:r>
      <w:r>
        <w:t>Responsibility?</w:t>
      </w:r>
    </w:p>
    <w:p w14:paraId="4BCCB682" w14:textId="77777777" w:rsidR="00A07ECC" w:rsidRDefault="00BE4EBF">
      <w:pPr>
        <w:ind w:left="844"/>
        <w:jc w:val="both"/>
      </w:pPr>
      <w:r>
        <w:rPr>
          <w:i/>
        </w:rPr>
        <w:t>Management</w:t>
      </w:r>
      <w:r>
        <w:rPr>
          <w:i/>
          <w:spacing w:val="-6"/>
        </w:rPr>
        <w:t xml:space="preserve"> </w:t>
      </w:r>
      <w:r>
        <w:rPr>
          <w:i/>
        </w:rPr>
        <w:t>Decision</w:t>
      </w:r>
      <w:r>
        <w:t>,</w:t>
      </w:r>
      <w:r>
        <w:rPr>
          <w:spacing w:val="-6"/>
        </w:rPr>
        <w:t xml:space="preserve"> </w:t>
      </w:r>
      <w:r>
        <w:rPr>
          <w:i/>
        </w:rPr>
        <w:t>53</w:t>
      </w:r>
      <w:r>
        <w:t>(9),</w:t>
      </w:r>
      <w:r>
        <w:rPr>
          <w:spacing w:val="-6"/>
        </w:rPr>
        <w:t xml:space="preserve"> </w:t>
      </w:r>
      <w:r>
        <w:t>2175–2199.</w:t>
      </w:r>
      <w:r>
        <w:rPr>
          <w:spacing w:val="-6"/>
        </w:rPr>
        <w:t xml:space="preserve"> </w:t>
      </w:r>
      <w:r>
        <w:t>https://doi.org/10.1108/MD-02-2015-0047</w:t>
      </w:r>
    </w:p>
    <w:p w14:paraId="078280EE" w14:textId="77777777" w:rsidR="00A07ECC" w:rsidRDefault="00BE4EBF">
      <w:pPr>
        <w:ind w:left="844" w:right="136" w:hanging="567"/>
        <w:jc w:val="both"/>
      </w:pPr>
      <w:r>
        <w:t xml:space="preserve">Hussain, N. (2015). </w:t>
      </w:r>
      <w:r>
        <w:rPr>
          <w:i/>
        </w:rPr>
        <w:t>Impact of Sustainability Performance on Financial Performance: An Empirical Study of Global</w:t>
      </w:r>
      <w:r>
        <w:rPr>
          <w:i/>
          <w:spacing w:val="1"/>
        </w:rPr>
        <w:t xml:space="preserve"> </w:t>
      </w:r>
      <w:r>
        <w:rPr>
          <w:i/>
        </w:rPr>
        <w:t>Fortune</w:t>
      </w:r>
      <w:r>
        <w:rPr>
          <w:i/>
          <w:spacing w:val="-1"/>
        </w:rPr>
        <w:t xml:space="preserve"> </w:t>
      </w:r>
      <w:r>
        <w:rPr>
          <w:i/>
        </w:rPr>
        <w:t>(N100)</w:t>
      </w:r>
      <w:r>
        <w:rPr>
          <w:i/>
          <w:spacing w:val="-1"/>
        </w:rPr>
        <w:t xml:space="preserve"> </w:t>
      </w:r>
      <w:r>
        <w:rPr>
          <w:i/>
        </w:rPr>
        <w:t>Firms</w:t>
      </w:r>
      <w:r>
        <w:rPr>
          <w:i/>
          <w:spacing w:val="3"/>
        </w:rPr>
        <w:t xml:space="preserve"> </w:t>
      </w:r>
      <w:r>
        <w:t>(Working</w:t>
      </w:r>
      <w:r>
        <w:rPr>
          <w:spacing w:val="-2"/>
        </w:rPr>
        <w:t xml:space="preserve"> </w:t>
      </w:r>
      <w:r>
        <w:t>Paper</w:t>
      </w:r>
      <w:r>
        <w:rPr>
          <w:spacing w:val="1"/>
        </w:rPr>
        <w:t xml:space="preserve"> </w:t>
      </w:r>
      <w:r>
        <w:t>Series</w:t>
      </w:r>
      <w:r>
        <w:rPr>
          <w:spacing w:val="-3"/>
        </w:rPr>
        <w:t xml:space="preserve"> </w:t>
      </w:r>
      <w:r>
        <w:t>No. 1/2015).</w:t>
      </w:r>
    </w:p>
    <w:p w14:paraId="3498ECEC" w14:textId="77777777" w:rsidR="00A07ECC" w:rsidRDefault="00BE4EBF">
      <w:pPr>
        <w:pStyle w:val="BodyText"/>
        <w:spacing w:before="1"/>
        <w:ind w:left="844" w:right="141" w:hanging="567"/>
        <w:jc w:val="both"/>
      </w:pPr>
      <w:r>
        <w:t>Izzo, M. F., &amp; di Donato, F. (2012). The Relation between Corporate Social Responsibility and Stock Prices: An</w:t>
      </w:r>
      <w:r>
        <w:rPr>
          <w:spacing w:val="1"/>
        </w:rPr>
        <w:t xml:space="preserve"> </w:t>
      </w:r>
      <w:r>
        <w:t>Analysis</w:t>
      </w:r>
      <w:r>
        <w:rPr>
          <w:spacing w:val="-3"/>
        </w:rPr>
        <w:t xml:space="preserve"> </w:t>
      </w:r>
      <w:r>
        <w:t xml:space="preserve">of the Italian Listed Companies. </w:t>
      </w:r>
      <w:r>
        <w:rPr>
          <w:i/>
        </w:rPr>
        <w:t>SSRN</w:t>
      </w:r>
      <w:r>
        <w:t>.</w:t>
      </w:r>
    </w:p>
    <w:p w14:paraId="69C5F7FE" w14:textId="77777777" w:rsidR="00A07ECC" w:rsidRDefault="00BE4EBF">
      <w:pPr>
        <w:ind w:left="844" w:right="132" w:hanging="567"/>
        <w:jc w:val="both"/>
      </w:pPr>
      <w:r>
        <w:t xml:space="preserve">Jamali, D. (2014). CSR in Developing Countries through an Institutional Lens. In G. </w:t>
      </w:r>
      <w:proofErr w:type="spellStart"/>
      <w:r>
        <w:t>Eweje</w:t>
      </w:r>
      <w:proofErr w:type="spellEnd"/>
      <w:r>
        <w:t xml:space="preserve"> (Ed.), </w:t>
      </w:r>
      <w:r>
        <w:rPr>
          <w:i/>
        </w:rPr>
        <w:t>Corporate Social</w:t>
      </w:r>
      <w:r>
        <w:rPr>
          <w:i/>
          <w:spacing w:val="-44"/>
        </w:rPr>
        <w:t xml:space="preserve"> </w:t>
      </w:r>
      <w:r>
        <w:rPr>
          <w:i/>
        </w:rPr>
        <w:t>Responsibility and Sustainability: Emerging Trends in Developing Economies (Critical Studies on Corporate</w:t>
      </w:r>
      <w:r>
        <w:rPr>
          <w:i/>
          <w:spacing w:val="1"/>
        </w:rPr>
        <w:t xml:space="preserve"> </w:t>
      </w:r>
      <w:r>
        <w:rPr>
          <w:i/>
        </w:rPr>
        <w:t>Responsibility,</w:t>
      </w:r>
      <w:r>
        <w:rPr>
          <w:i/>
          <w:spacing w:val="1"/>
        </w:rPr>
        <w:t xml:space="preserve"> </w:t>
      </w:r>
      <w:r>
        <w:rPr>
          <w:i/>
        </w:rPr>
        <w:t>Governance</w:t>
      </w:r>
      <w:r>
        <w:rPr>
          <w:i/>
          <w:spacing w:val="1"/>
        </w:rPr>
        <w:t xml:space="preserve"> </w:t>
      </w:r>
      <w:r>
        <w:rPr>
          <w:i/>
        </w:rPr>
        <w:t>and</w:t>
      </w:r>
      <w:r>
        <w:rPr>
          <w:i/>
          <w:spacing w:val="1"/>
        </w:rPr>
        <w:t xml:space="preserve"> </w:t>
      </w:r>
      <w:r>
        <w:rPr>
          <w:i/>
        </w:rPr>
        <w:t>Sustainability)</w:t>
      </w:r>
      <w:r>
        <w:rPr>
          <w:i/>
          <w:spacing w:val="1"/>
        </w:rPr>
        <w:t xml:space="preserve"> </w:t>
      </w:r>
      <w:r>
        <w:t>(8th</w:t>
      </w:r>
      <w:r>
        <w:rPr>
          <w:spacing w:val="1"/>
        </w:rPr>
        <w:t xml:space="preserve"> </w:t>
      </w:r>
      <w:r>
        <w:t>ed.,</w:t>
      </w:r>
      <w:r>
        <w:rPr>
          <w:spacing w:val="1"/>
        </w:rPr>
        <w:t xml:space="preserve"> </w:t>
      </w:r>
      <w:r>
        <w:t>pp.</w:t>
      </w:r>
      <w:r>
        <w:rPr>
          <w:spacing w:val="1"/>
        </w:rPr>
        <w:t xml:space="preserve"> </w:t>
      </w:r>
      <w:r>
        <w:t>21–44).</w:t>
      </w:r>
      <w:r>
        <w:rPr>
          <w:spacing w:val="1"/>
        </w:rPr>
        <w:t xml:space="preserve"> </w:t>
      </w:r>
      <w:r>
        <w:t>Emerald</w:t>
      </w:r>
      <w:r>
        <w:rPr>
          <w:spacing w:val="1"/>
        </w:rPr>
        <w:t xml:space="preserve"> </w:t>
      </w:r>
      <w:r>
        <w:t>Publishing</w:t>
      </w:r>
      <w:r>
        <w:rPr>
          <w:spacing w:val="1"/>
        </w:rPr>
        <w:t xml:space="preserve"> </w:t>
      </w:r>
      <w:r>
        <w:t>Limited.</w:t>
      </w:r>
      <w:r>
        <w:rPr>
          <w:spacing w:val="1"/>
        </w:rPr>
        <w:t xml:space="preserve"> </w:t>
      </w:r>
      <w:r>
        <w:t>https://doi.org/10.1108/S2043-905920140000008005</w:t>
      </w:r>
    </w:p>
    <w:p w14:paraId="6AC7B871" w14:textId="77777777" w:rsidR="00A07ECC" w:rsidRDefault="00BE4EBF">
      <w:pPr>
        <w:ind w:left="844" w:right="133" w:hanging="567"/>
        <w:jc w:val="both"/>
      </w:pPr>
      <w:proofErr w:type="spellStart"/>
      <w:r>
        <w:t>Jizi</w:t>
      </w:r>
      <w:proofErr w:type="spellEnd"/>
      <w:r>
        <w:t xml:space="preserve">, M. (2017). The Influence of Board Composition on Sustainable Development Disclosure. </w:t>
      </w:r>
      <w:r>
        <w:rPr>
          <w:i/>
        </w:rPr>
        <w:t>Business Strategy</w:t>
      </w:r>
      <w:r>
        <w:rPr>
          <w:i/>
          <w:spacing w:val="1"/>
        </w:rPr>
        <w:t xml:space="preserve"> </w:t>
      </w:r>
      <w:r>
        <w:rPr>
          <w:i/>
        </w:rPr>
        <w:t>and</w:t>
      </w:r>
      <w:r>
        <w:rPr>
          <w:i/>
          <w:spacing w:val="-1"/>
        </w:rPr>
        <w:t xml:space="preserve"> </w:t>
      </w:r>
      <w:r>
        <w:rPr>
          <w:i/>
        </w:rPr>
        <w:t>the Environment</w:t>
      </w:r>
      <w:r>
        <w:t>,</w:t>
      </w:r>
      <w:r>
        <w:rPr>
          <w:spacing w:val="-3"/>
        </w:rPr>
        <w:t xml:space="preserve"> </w:t>
      </w:r>
      <w:r>
        <w:rPr>
          <w:i/>
        </w:rPr>
        <w:t>26</w:t>
      </w:r>
      <w:r>
        <w:t>(5),</w:t>
      </w:r>
      <w:r>
        <w:rPr>
          <w:spacing w:val="-1"/>
        </w:rPr>
        <w:t xml:space="preserve"> </w:t>
      </w:r>
      <w:r>
        <w:t>640–655.</w:t>
      </w:r>
      <w:r>
        <w:rPr>
          <w:spacing w:val="-3"/>
        </w:rPr>
        <w:t xml:space="preserve"> </w:t>
      </w:r>
      <w:r>
        <w:t>https://doi.org/10.1002/bse.1943</w:t>
      </w:r>
    </w:p>
    <w:p w14:paraId="0AFBB9D8" w14:textId="77777777" w:rsidR="00A07ECC" w:rsidRDefault="00BE4EBF">
      <w:pPr>
        <w:pStyle w:val="BodyText"/>
        <w:ind w:left="844" w:right="134" w:hanging="567"/>
        <w:jc w:val="both"/>
      </w:pPr>
      <w:proofErr w:type="spellStart"/>
      <w:r>
        <w:t>Khojastehpour</w:t>
      </w:r>
      <w:proofErr w:type="spellEnd"/>
      <w:r>
        <w:t>,</w:t>
      </w:r>
      <w:r>
        <w:rPr>
          <w:spacing w:val="-7"/>
        </w:rPr>
        <w:t xml:space="preserve"> </w:t>
      </w:r>
      <w:r>
        <w:t>M.,</w:t>
      </w:r>
      <w:r>
        <w:rPr>
          <w:spacing w:val="-7"/>
        </w:rPr>
        <w:t xml:space="preserve"> </w:t>
      </w:r>
      <w:r>
        <w:t>&amp;</w:t>
      </w:r>
      <w:r>
        <w:rPr>
          <w:spacing w:val="-4"/>
        </w:rPr>
        <w:t xml:space="preserve"> </w:t>
      </w:r>
      <w:r>
        <w:t>Johns,</w:t>
      </w:r>
      <w:r>
        <w:rPr>
          <w:spacing w:val="-6"/>
        </w:rPr>
        <w:t xml:space="preserve"> </w:t>
      </w:r>
      <w:r>
        <w:t>R.</w:t>
      </w:r>
      <w:r>
        <w:rPr>
          <w:spacing w:val="-4"/>
        </w:rPr>
        <w:t xml:space="preserve"> </w:t>
      </w:r>
      <w:r>
        <w:t>(2014).</w:t>
      </w:r>
      <w:r>
        <w:rPr>
          <w:spacing w:val="-5"/>
        </w:rPr>
        <w:t xml:space="preserve"> </w:t>
      </w:r>
      <w:r>
        <w:t>The</w:t>
      </w:r>
      <w:r>
        <w:rPr>
          <w:spacing w:val="-6"/>
        </w:rPr>
        <w:t xml:space="preserve"> </w:t>
      </w:r>
      <w:r>
        <w:t>Effect</w:t>
      </w:r>
      <w:r>
        <w:rPr>
          <w:spacing w:val="-4"/>
        </w:rPr>
        <w:t xml:space="preserve"> </w:t>
      </w:r>
      <w:r>
        <w:t>of</w:t>
      </w:r>
      <w:r>
        <w:rPr>
          <w:spacing w:val="-7"/>
        </w:rPr>
        <w:t xml:space="preserve"> </w:t>
      </w:r>
      <w:r>
        <w:t>Environmental</w:t>
      </w:r>
      <w:r>
        <w:rPr>
          <w:spacing w:val="-6"/>
        </w:rPr>
        <w:t xml:space="preserve"> </w:t>
      </w:r>
      <w:r>
        <w:t>CSR</w:t>
      </w:r>
      <w:r>
        <w:rPr>
          <w:spacing w:val="-5"/>
        </w:rPr>
        <w:t xml:space="preserve"> </w:t>
      </w:r>
      <w:r>
        <w:t>Issues</w:t>
      </w:r>
      <w:r>
        <w:rPr>
          <w:spacing w:val="-5"/>
        </w:rPr>
        <w:t xml:space="preserve"> </w:t>
      </w:r>
      <w:r>
        <w:t>on</w:t>
      </w:r>
      <w:r>
        <w:rPr>
          <w:spacing w:val="-3"/>
        </w:rPr>
        <w:t xml:space="preserve"> </w:t>
      </w:r>
      <w:r>
        <w:t>Corporate/Brand</w:t>
      </w:r>
      <w:r>
        <w:rPr>
          <w:spacing w:val="-5"/>
        </w:rPr>
        <w:t xml:space="preserve"> </w:t>
      </w:r>
      <w:r>
        <w:t>Reputation</w:t>
      </w:r>
      <w:r>
        <w:rPr>
          <w:spacing w:val="-46"/>
        </w:rPr>
        <w:t xml:space="preserve"> </w:t>
      </w:r>
      <w:r>
        <w:t xml:space="preserve">and Corporate Profitability. </w:t>
      </w:r>
      <w:r>
        <w:rPr>
          <w:i/>
        </w:rPr>
        <w:t>European Business Review</w:t>
      </w:r>
      <w:r>
        <w:t xml:space="preserve">, </w:t>
      </w:r>
      <w:r>
        <w:rPr>
          <w:i/>
        </w:rPr>
        <w:t>26</w:t>
      </w:r>
      <w:r>
        <w:t>(4), 330–339. https://doi.org/10.1108/EBR-03-</w:t>
      </w:r>
      <w:r>
        <w:rPr>
          <w:spacing w:val="1"/>
        </w:rPr>
        <w:t xml:space="preserve"> </w:t>
      </w:r>
      <w:r>
        <w:t>2014-0029</w:t>
      </w:r>
    </w:p>
    <w:p w14:paraId="7615516E" w14:textId="77777777" w:rsidR="00A07ECC" w:rsidRDefault="00BE4EBF">
      <w:pPr>
        <w:pStyle w:val="BodyText"/>
        <w:spacing w:before="3" w:line="237" w:lineRule="auto"/>
        <w:ind w:left="844" w:right="134" w:hanging="567"/>
        <w:jc w:val="both"/>
      </w:pPr>
      <w:r>
        <w:t>Kim, H.-R., Lee, M., Lee, H.-T., &amp; Kim, N.-M. (2010). Corporate Social Responsibility and Employee–Company</w:t>
      </w:r>
      <w:r>
        <w:rPr>
          <w:spacing w:val="1"/>
        </w:rPr>
        <w:t xml:space="preserve"> </w:t>
      </w:r>
      <w:r>
        <w:t>Identification.</w:t>
      </w:r>
      <w:r>
        <w:rPr>
          <w:spacing w:val="-2"/>
        </w:rPr>
        <w:t xml:space="preserve"> </w:t>
      </w:r>
      <w:r>
        <w:rPr>
          <w:i/>
        </w:rPr>
        <w:t>Journal</w:t>
      </w:r>
      <w:r>
        <w:rPr>
          <w:i/>
          <w:spacing w:val="-3"/>
        </w:rPr>
        <w:t xml:space="preserve"> </w:t>
      </w:r>
      <w:r>
        <w:rPr>
          <w:i/>
        </w:rPr>
        <w:t>of</w:t>
      </w:r>
      <w:r>
        <w:rPr>
          <w:i/>
          <w:spacing w:val="-1"/>
        </w:rPr>
        <w:t xml:space="preserve"> </w:t>
      </w:r>
      <w:r>
        <w:rPr>
          <w:i/>
        </w:rPr>
        <w:t>Business</w:t>
      </w:r>
      <w:r>
        <w:rPr>
          <w:i/>
          <w:spacing w:val="-2"/>
        </w:rPr>
        <w:t xml:space="preserve"> </w:t>
      </w:r>
      <w:r>
        <w:rPr>
          <w:i/>
        </w:rPr>
        <w:t>Ethics</w:t>
      </w:r>
      <w:r>
        <w:t>,</w:t>
      </w:r>
      <w:r>
        <w:rPr>
          <w:spacing w:val="-3"/>
        </w:rPr>
        <w:t xml:space="preserve"> </w:t>
      </w:r>
      <w:r>
        <w:rPr>
          <w:i/>
        </w:rPr>
        <w:t>95</w:t>
      </w:r>
      <w:r>
        <w:t>(4),</w:t>
      </w:r>
      <w:r>
        <w:rPr>
          <w:spacing w:val="-1"/>
        </w:rPr>
        <w:t xml:space="preserve"> </w:t>
      </w:r>
      <w:r>
        <w:t>557–569.</w:t>
      </w:r>
      <w:r>
        <w:rPr>
          <w:spacing w:val="-2"/>
        </w:rPr>
        <w:t xml:space="preserve"> </w:t>
      </w:r>
      <w:r>
        <w:t>https://doi.org/10.1007/s10551-010-0440-2</w:t>
      </w:r>
    </w:p>
    <w:p w14:paraId="2AE1F17B" w14:textId="77777777" w:rsidR="00A07ECC" w:rsidRDefault="00BE4EBF">
      <w:pPr>
        <w:pStyle w:val="BodyText"/>
        <w:spacing w:before="1"/>
        <w:ind w:left="844" w:right="135" w:hanging="567"/>
        <w:jc w:val="both"/>
      </w:pPr>
      <w:r>
        <w:t xml:space="preserve">Kim, Y., Li, H., &amp; Li, S. (2014). Corporate Social Responsibility and Stock Price Crash Risk. </w:t>
      </w:r>
      <w:r>
        <w:rPr>
          <w:i/>
        </w:rPr>
        <w:t>Journal of Banking and</w:t>
      </w:r>
      <w:r>
        <w:rPr>
          <w:i/>
          <w:spacing w:val="-43"/>
        </w:rPr>
        <w:t xml:space="preserve"> </w:t>
      </w:r>
      <w:r>
        <w:rPr>
          <w:i/>
        </w:rPr>
        <w:t>Finance</w:t>
      </w:r>
      <w:r>
        <w:t>,</w:t>
      </w:r>
      <w:r>
        <w:rPr>
          <w:spacing w:val="-4"/>
        </w:rPr>
        <w:t xml:space="preserve"> </w:t>
      </w:r>
      <w:r>
        <w:rPr>
          <w:i/>
        </w:rPr>
        <w:t>43</w:t>
      </w:r>
      <w:r>
        <w:t>, 1–13. https://doi.org/10.1016/j.jbankfin.2014.02.013</w:t>
      </w:r>
    </w:p>
    <w:p w14:paraId="38F9D3BA" w14:textId="77777777" w:rsidR="00A07ECC" w:rsidRDefault="00BE4EBF">
      <w:pPr>
        <w:spacing w:before="1"/>
        <w:ind w:left="844" w:right="132" w:hanging="567"/>
        <w:jc w:val="both"/>
      </w:pPr>
      <w:r>
        <w:t>Kurniawan,</w:t>
      </w:r>
      <w:r>
        <w:rPr>
          <w:spacing w:val="-5"/>
        </w:rPr>
        <w:t xml:space="preserve"> </w:t>
      </w:r>
      <w:r>
        <w:t>P.</w:t>
      </w:r>
      <w:r>
        <w:rPr>
          <w:spacing w:val="-4"/>
        </w:rPr>
        <w:t xml:space="preserve"> </w:t>
      </w:r>
      <w:r>
        <w:t>S.</w:t>
      </w:r>
      <w:r>
        <w:rPr>
          <w:spacing w:val="-5"/>
        </w:rPr>
        <w:t xml:space="preserve"> </w:t>
      </w:r>
      <w:r>
        <w:t>(2018).</w:t>
      </w:r>
      <w:r>
        <w:rPr>
          <w:spacing w:val="-4"/>
        </w:rPr>
        <w:t xml:space="preserve"> </w:t>
      </w:r>
      <w:r>
        <w:t>An</w:t>
      </w:r>
      <w:r>
        <w:rPr>
          <w:spacing w:val="-3"/>
        </w:rPr>
        <w:t xml:space="preserve"> </w:t>
      </w:r>
      <w:r>
        <w:t>Implementation</w:t>
      </w:r>
      <w:r>
        <w:rPr>
          <w:spacing w:val="-4"/>
        </w:rPr>
        <w:t xml:space="preserve"> </w:t>
      </w:r>
      <w:r>
        <w:t>Model</w:t>
      </w:r>
      <w:r>
        <w:rPr>
          <w:spacing w:val="-7"/>
        </w:rPr>
        <w:t xml:space="preserve"> </w:t>
      </w:r>
      <w:r>
        <w:t>of</w:t>
      </w:r>
      <w:r>
        <w:rPr>
          <w:spacing w:val="-4"/>
        </w:rPr>
        <w:t xml:space="preserve"> </w:t>
      </w:r>
      <w:r>
        <w:t>Sustainability</w:t>
      </w:r>
      <w:r>
        <w:rPr>
          <w:spacing w:val="-4"/>
        </w:rPr>
        <w:t xml:space="preserve"> </w:t>
      </w:r>
      <w:r>
        <w:t>Reporting</w:t>
      </w:r>
      <w:r>
        <w:rPr>
          <w:spacing w:val="-3"/>
        </w:rPr>
        <w:t xml:space="preserve"> </w:t>
      </w:r>
      <w:r>
        <w:t>in</w:t>
      </w:r>
      <w:r>
        <w:rPr>
          <w:spacing w:val="-4"/>
        </w:rPr>
        <w:t xml:space="preserve"> </w:t>
      </w:r>
      <w:r>
        <w:t>Village-Owned</w:t>
      </w:r>
      <w:r>
        <w:rPr>
          <w:spacing w:val="-3"/>
        </w:rPr>
        <w:t xml:space="preserve"> </w:t>
      </w:r>
      <w:r>
        <w:t>Enterprise</w:t>
      </w:r>
      <w:r>
        <w:rPr>
          <w:spacing w:val="-4"/>
        </w:rPr>
        <w:t xml:space="preserve"> </w:t>
      </w:r>
      <w:r>
        <w:t>and</w:t>
      </w:r>
      <w:r>
        <w:rPr>
          <w:spacing w:val="-46"/>
        </w:rPr>
        <w:t xml:space="preserve"> </w:t>
      </w:r>
      <w:r>
        <w:t>Small</w:t>
      </w:r>
      <w:r>
        <w:rPr>
          <w:spacing w:val="-6"/>
        </w:rPr>
        <w:t xml:space="preserve"> </w:t>
      </w:r>
      <w:r>
        <w:t>and</w:t>
      </w:r>
      <w:r>
        <w:rPr>
          <w:spacing w:val="-6"/>
        </w:rPr>
        <w:t xml:space="preserve"> </w:t>
      </w:r>
      <w:r>
        <w:t>Medium</w:t>
      </w:r>
      <w:r>
        <w:rPr>
          <w:spacing w:val="-6"/>
        </w:rPr>
        <w:t xml:space="preserve"> </w:t>
      </w:r>
      <w:r>
        <w:t>Enterprise.</w:t>
      </w:r>
      <w:r>
        <w:rPr>
          <w:spacing w:val="-5"/>
        </w:rPr>
        <w:t xml:space="preserve"> </w:t>
      </w:r>
      <w:r>
        <w:rPr>
          <w:i/>
        </w:rPr>
        <w:t>Indonesian</w:t>
      </w:r>
      <w:r>
        <w:rPr>
          <w:i/>
          <w:spacing w:val="-4"/>
        </w:rPr>
        <w:t xml:space="preserve"> </w:t>
      </w:r>
      <w:r>
        <w:rPr>
          <w:i/>
        </w:rPr>
        <w:t>Journal</w:t>
      </w:r>
      <w:r>
        <w:rPr>
          <w:i/>
          <w:spacing w:val="-5"/>
        </w:rPr>
        <w:t xml:space="preserve"> </w:t>
      </w:r>
      <w:r>
        <w:rPr>
          <w:i/>
        </w:rPr>
        <w:t>of</w:t>
      </w:r>
      <w:r>
        <w:rPr>
          <w:i/>
          <w:spacing w:val="-6"/>
        </w:rPr>
        <w:t xml:space="preserve"> </w:t>
      </w:r>
      <w:r>
        <w:rPr>
          <w:i/>
        </w:rPr>
        <w:t>Sustainability</w:t>
      </w:r>
      <w:r>
        <w:rPr>
          <w:i/>
          <w:spacing w:val="-4"/>
        </w:rPr>
        <w:t xml:space="preserve"> </w:t>
      </w:r>
      <w:r>
        <w:rPr>
          <w:i/>
        </w:rPr>
        <w:t>Accounting</w:t>
      </w:r>
      <w:r>
        <w:rPr>
          <w:i/>
          <w:spacing w:val="-4"/>
        </w:rPr>
        <w:t xml:space="preserve"> </w:t>
      </w:r>
      <w:r>
        <w:rPr>
          <w:i/>
        </w:rPr>
        <w:t>and</w:t>
      </w:r>
      <w:r>
        <w:rPr>
          <w:i/>
          <w:spacing w:val="-4"/>
        </w:rPr>
        <w:t xml:space="preserve"> </w:t>
      </w:r>
      <w:r>
        <w:rPr>
          <w:i/>
        </w:rPr>
        <w:t>Management</w:t>
      </w:r>
      <w:r>
        <w:t>,</w:t>
      </w:r>
      <w:r>
        <w:rPr>
          <w:spacing w:val="-7"/>
        </w:rPr>
        <w:t xml:space="preserve"> </w:t>
      </w:r>
      <w:r>
        <w:rPr>
          <w:i/>
        </w:rPr>
        <w:t>2</w:t>
      </w:r>
      <w:r>
        <w:t>(2),</w:t>
      </w:r>
      <w:r>
        <w:rPr>
          <w:spacing w:val="-5"/>
        </w:rPr>
        <w:t xml:space="preserve"> </w:t>
      </w:r>
      <w:r>
        <w:t>90–</w:t>
      </w:r>
      <w:r>
        <w:rPr>
          <w:spacing w:val="1"/>
        </w:rPr>
        <w:t xml:space="preserve"> </w:t>
      </w:r>
      <w:r>
        <w:t>106.</w:t>
      </w:r>
    </w:p>
    <w:p w14:paraId="633C4A74" w14:textId="77777777" w:rsidR="00A07ECC" w:rsidRDefault="00BE4EBF">
      <w:pPr>
        <w:pStyle w:val="BodyText"/>
        <w:tabs>
          <w:tab w:val="left" w:pos="2050"/>
          <w:tab w:val="left" w:pos="3531"/>
          <w:tab w:val="left" w:pos="4876"/>
          <w:tab w:val="left" w:pos="6677"/>
          <w:tab w:val="left" w:pos="8486"/>
          <w:tab w:val="left" w:pos="9434"/>
        </w:tabs>
        <w:spacing w:before="1"/>
        <w:ind w:left="844" w:right="135" w:hanging="567"/>
        <w:jc w:val="both"/>
      </w:pPr>
      <w:r>
        <w:t>Lin, C.-S., Chang, R.-Y., &amp; Dang, V. (2015). An Integrated Model to Explain How Corporate Social Responsibility</w:t>
      </w:r>
      <w:r>
        <w:rPr>
          <w:spacing w:val="1"/>
        </w:rPr>
        <w:t xml:space="preserve"> </w:t>
      </w:r>
      <w:r>
        <w:t>Affects</w:t>
      </w:r>
      <w:r>
        <w:tab/>
        <w:t>Corporate</w:t>
      </w:r>
      <w:r>
        <w:tab/>
        <w:t>Financial</w:t>
      </w:r>
      <w:r>
        <w:tab/>
        <w:t>Performance.</w:t>
      </w:r>
      <w:r>
        <w:tab/>
      </w:r>
      <w:r>
        <w:rPr>
          <w:i/>
        </w:rPr>
        <w:t>Sustainability</w:t>
      </w:r>
      <w:r>
        <w:t>,</w:t>
      </w:r>
      <w:r>
        <w:tab/>
      </w:r>
      <w:r>
        <w:rPr>
          <w:i/>
        </w:rPr>
        <w:t>7</w:t>
      </w:r>
      <w:r>
        <w:t>(7),</w:t>
      </w:r>
      <w:r>
        <w:tab/>
        <w:t>8292–8311.</w:t>
      </w:r>
      <w:r>
        <w:rPr>
          <w:spacing w:val="-46"/>
        </w:rPr>
        <w:t xml:space="preserve"> </w:t>
      </w:r>
      <w:r>
        <w:t>https://doi.org/10.3390/su7078292</w:t>
      </w:r>
    </w:p>
    <w:p w14:paraId="1B0133B6" w14:textId="77777777" w:rsidR="00A07ECC" w:rsidRDefault="00BE4EBF">
      <w:pPr>
        <w:ind w:left="844" w:right="140" w:hanging="567"/>
        <w:jc w:val="both"/>
      </w:pPr>
      <w:r>
        <w:t xml:space="preserve">Macharia, P. I., &amp; </w:t>
      </w:r>
      <w:proofErr w:type="spellStart"/>
      <w:r>
        <w:t>Gatuhi</w:t>
      </w:r>
      <w:proofErr w:type="spellEnd"/>
      <w:r>
        <w:t>, S. K. (2013). Effect of Financial Performance Indicators on Market Price of Shares in</w:t>
      </w:r>
      <w:r>
        <w:rPr>
          <w:spacing w:val="1"/>
        </w:rPr>
        <w:t xml:space="preserve"> </w:t>
      </w:r>
      <w:r>
        <w:t>Commercial</w:t>
      </w:r>
      <w:r>
        <w:rPr>
          <w:spacing w:val="-4"/>
        </w:rPr>
        <w:t xml:space="preserve"> </w:t>
      </w:r>
      <w:r>
        <w:t>Banks</w:t>
      </w:r>
      <w:r>
        <w:rPr>
          <w:spacing w:val="-1"/>
        </w:rPr>
        <w:t xml:space="preserve"> </w:t>
      </w:r>
      <w:r>
        <w:t>of</w:t>
      </w:r>
      <w:r>
        <w:rPr>
          <w:spacing w:val="-1"/>
        </w:rPr>
        <w:t xml:space="preserve"> </w:t>
      </w:r>
      <w:r>
        <w:t xml:space="preserve">Kenya. </w:t>
      </w:r>
      <w:r>
        <w:rPr>
          <w:i/>
        </w:rPr>
        <w:t>International</w:t>
      </w:r>
      <w:r>
        <w:rPr>
          <w:i/>
          <w:spacing w:val="-2"/>
        </w:rPr>
        <w:t xml:space="preserve"> </w:t>
      </w:r>
      <w:r>
        <w:rPr>
          <w:i/>
        </w:rPr>
        <w:t>Journal</w:t>
      </w:r>
      <w:r>
        <w:rPr>
          <w:i/>
          <w:spacing w:val="-2"/>
        </w:rPr>
        <w:t xml:space="preserve"> </w:t>
      </w:r>
      <w:r>
        <w:rPr>
          <w:i/>
        </w:rPr>
        <w:t>of</w:t>
      </w:r>
      <w:r>
        <w:rPr>
          <w:i/>
          <w:spacing w:val="-3"/>
        </w:rPr>
        <w:t xml:space="preserve"> </w:t>
      </w:r>
      <w:r>
        <w:rPr>
          <w:i/>
        </w:rPr>
        <w:t>Management</w:t>
      </w:r>
      <w:r>
        <w:rPr>
          <w:i/>
          <w:spacing w:val="-1"/>
        </w:rPr>
        <w:t xml:space="preserve"> </w:t>
      </w:r>
      <w:r>
        <w:rPr>
          <w:i/>
        </w:rPr>
        <w:t>and Business</w:t>
      </w:r>
      <w:r>
        <w:rPr>
          <w:i/>
          <w:spacing w:val="-2"/>
        </w:rPr>
        <w:t xml:space="preserve"> </w:t>
      </w:r>
      <w:r>
        <w:rPr>
          <w:i/>
        </w:rPr>
        <w:t>Studies</w:t>
      </w:r>
      <w:r>
        <w:t>,</w:t>
      </w:r>
      <w:r>
        <w:rPr>
          <w:spacing w:val="-2"/>
        </w:rPr>
        <w:t xml:space="preserve"> </w:t>
      </w:r>
      <w:r>
        <w:rPr>
          <w:i/>
        </w:rPr>
        <w:t>3</w:t>
      </w:r>
      <w:r>
        <w:t>(3),</w:t>
      </w:r>
      <w:r>
        <w:rPr>
          <w:spacing w:val="-2"/>
        </w:rPr>
        <w:t xml:space="preserve"> </w:t>
      </w:r>
      <w:r>
        <w:t>57–60.</w:t>
      </w:r>
    </w:p>
    <w:p w14:paraId="1829925B" w14:textId="77777777" w:rsidR="00A07ECC" w:rsidRDefault="00BE4EBF">
      <w:pPr>
        <w:ind w:left="844" w:right="135" w:hanging="567"/>
        <w:jc w:val="both"/>
      </w:pPr>
      <w:proofErr w:type="spellStart"/>
      <w:r>
        <w:t>Mahbuba</w:t>
      </w:r>
      <w:proofErr w:type="spellEnd"/>
      <w:r>
        <w:t>, S., &amp; Farzana, N. (2013). Corporate Social Responsibility and Profitability: A Case Study on Dutch</w:t>
      </w:r>
      <w:r>
        <w:rPr>
          <w:spacing w:val="1"/>
        </w:rPr>
        <w:t xml:space="preserve"> </w:t>
      </w:r>
      <w:r>
        <w:t>Bangla</w:t>
      </w:r>
      <w:r>
        <w:rPr>
          <w:spacing w:val="-4"/>
        </w:rPr>
        <w:t xml:space="preserve"> </w:t>
      </w:r>
      <w:r>
        <w:t xml:space="preserve">Bank Ltd. </w:t>
      </w:r>
      <w:r>
        <w:rPr>
          <w:i/>
        </w:rPr>
        <w:t>International</w:t>
      </w:r>
      <w:r>
        <w:rPr>
          <w:i/>
          <w:spacing w:val="-1"/>
        </w:rPr>
        <w:t xml:space="preserve"> </w:t>
      </w:r>
      <w:r>
        <w:rPr>
          <w:i/>
        </w:rPr>
        <w:t>Journal</w:t>
      </w:r>
      <w:r>
        <w:rPr>
          <w:i/>
          <w:spacing w:val="-1"/>
        </w:rPr>
        <w:t xml:space="preserve"> </w:t>
      </w:r>
      <w:r>
        <w:rPr>
          <w:i/>
        </w:rPr>
        <w:t>of Business and Social Research</w:t>
      </w:r>
      <w:r>
        <w:t>,</w:t>
      </w:r>
      <w:r>
        <w:rPr>
          <w:spacing w:val="-3"/>
        </w:rPr>
        <w:t xml:space="preserve"> </w:t>
      </w:r>
      <w:r>
        <w:rPr>
          <w:i/>
        </w:rPr>
        <w:t>3</w:t>
      </w:r>
      <w:r>
        <w:t>(4), 139–145.</w:t>
      </w:r>
    </w:p>
    <w:p w14:paraId="0DE05A3E" w14:textId="77777777" w:rsidR="00A07ECC" w:rsidRDefault="00BE4EBF">
      <w:pPr>
        <w:ind w:left="844" w:right="136" w:hanging="567"/>
        <w:jc w:val="both"/>
      </w:pPr>
      <w:r>
        <w:t xml:space="preserve">Martin, R., </w:t>
      </w:r>
      <w:proofErr w:type="spellStart"/>
      <w:r>
        <w:t>Yadiati</w:t>
      </w:r>
      <w:proofErr w:type="spellEnd"/>
      <w:r>
        <w:t xml:space="preserve">, W., &amp; </w:t>
      </w:r>
      <w:proofErr w:type="spellStart"/>
      <w:r>
        <w:t>Pratama</w:t>
      </w:r>
      <w:proofErr w:type="spellEnd"/>
      <w:r>
        <w:t>, A. (2018). CSR disclosure and Company Financial Performance: Do High and</w:t>
      </w:r>
      <w:r>
        <w:rPr>
          <w:spacing w:val="-45"/>
        </w:rPr>
        <w:t xml:space="preserve"> </w:t>
      </w:r>
      <w:r>
        <w:t>Low–Profile</w:t>
      </w:r>
      <w:r>
        <w:rPr>
          <w:spacing w:val="1"/>
        </w:rPr>
        <w:t xml:space="preserve"> </w:t>
      </w:r>
      <w:r>
        <w:t>Industry</w:t>
      </w:r>
      <w:r>
        <w:rPr>
          <w:spacing w:val="1"/>
        </w:rPr>
        <w:t xml:space="preserve"> </w:t>
      </w:r>
      <w:r>
        <w:t>Moderate</w:t>
      </w:r>
      <w:r>
        <w:rPr>
          <w:spacing w:val="1"/>
        </w:rPr>
        <w:t xml:space="preserve"> </w:t>
      </w:r>
      <w:r>
        <w:t>the</w:t>
      </w:r>
      <w:r>
        <w:rPr>
          <w:spacing w:val="1"/>
        </w:rPr>
        <w:t xml:space="preserve"> </w:t>
      </w:r>
      <w:r>
        <w:t>Result?</w:t>
      </w:r>
      <w:r>
        <w:rPr>
          <w:spacing w:val="1"/>
        </w:rPr>
        <w:t xml:space="preserve"> </w:t>
      </w:r>
      <w:r>
        <w:rPr>
          <w:i/>
        </w:rPr>
        <w:t>Indonesian</w:t>
      </w:r>
      <w:r>
        <w:rPr>
          <w:i/>
          <w:spacing w:val="1"/>
        </w:rPr>
        <w:t xml:space="preserve"> </w:t>
      </w:r>
      <w:r>
        <w:rPr>
          <w:i/>
        </w:rPr>
        <w:t>Journal</w:t>
      </w:r>
      <w:r>
        <w:rPr>
          <w:i/>
          <w:spacing w:val="1"/>
        </w:rPr>
        <w:t xml:space="preserve"> </w:t>
      </w:r>
      <w:r>
        <w:rPr>
          <w:i/>
        </w:rPr>
        <w:t>of</w:t>
      </w:r>
      <w:r>
        <w:rPr>
          <w:i/>
          <w:spacing w:val="1"/>
        </w:rPr>
        <w:t xml:space="preserve"> </w:t>
      </w:r>
      <w:r>
        <w:rPr>
          <w:i/>
        </w:rPr>
        <w:t>Sustainability</w:t>
      </w:r>
      <w:r>
        <w:rPr>
          <w:i/>
          <w:spacing w:val="1"/>
        </w:rPr>
        <w:t xml:space="preserve"> </w:t>
      </w:r>
      <w:r>
        <w:rPr>
          <w:i/>
        </w:rPr>
        <w:t>Accounting</w:t>
      </w:r>
      <w:r>
        <w:rPr>
          <w:i/>
          <w:spacing w:val="1"/>
        </w:rPr>
        <w:t xml:space="preserve"> </w:t>
      </w:r>
      <w:r>
        <w:rPr>
          <w:i/>
        </w:rPr>
        <w:t>and</w:t>
      </w:r>
      <w:r>
        <w:rPr>
          <w:i/>
          <w:spacing w:val="1"/>
        </w:rPr>
        <w:t xml:space="preserve"> </w:t>
      </w:r>
      <w:r>
        <w:rPr>
          <w:i/>
        </w:rPr>
        <w:t>Management</w:t>
      </w:r>
      <w:r>
        <w:t>,</w:t>
      </w:r>
      <w:r>
        <w:rPr>
          <w:spacing w:val="-2"/>
        </w:rPr>
        <w:t xml:space="preserve"> </w:t>
      </w:r>
      <w:r>
        <w:rPr>
          <w:i/>
        </w:rPr>
        <w:t>2</w:t>
      </w:r>
      <w:r>
        <w:t>(1), 15–24.</w:t>
      </w:r>
    </w:p>
    <w:p w14:paraId="72F2C44D" w14:textId="77777777" w:rsidR="00A07ECC" w:rsidRDefault="00BE4EBF">
      <w:pPr>
        <w:pStyle w:val="BodyText"/>
        <w:spacing w:before="1"/>
        <w:ind w:left="844" w:right="132" w:hanging="567"/>
        <w:jc w:val="both"/>
      </w:pPr>
      <w:proofErr w:type="spellStart"/>
      <w:r>
        <w:t>Mehralian</w:t>
      </w:r>
      <w:proofErr w:type="spellEnd"/>
      <w:r>
        <w:t xml:space="preserve">, G., Nazari, J. A., </w:t>
      </w:r>
      <w:proofErr w:type="spellStart"/>
      <w:r>
        <w:t>Zarei</w:t>
      </w:r>
      <w:proofErr w:type="spellEnd"/>
      <w:r>
        <w:t xml:space="preserve">, L., &amp; </w:t>
      </w:r>
      <w:proofErr w:type="spellStart"/>
      <w:r>
        <w:t>Rasekh</w:t>
      </w:r>
      <w:proofErr w:type="spellEnd"/>
      <w:r>
        <w:t>, H. R. (2016). The Effects of Corporate Social Responsibility on</w:t>
      </w:r>
      <w:r>
        <w:rPr>
          <w:spacing w:val="1"/>
        </w:rPr>
        <w:t xml:space="preserve"> </w:t>
      </w:r>
      <w:r>
        <w:t xml:space="preserve">Organizational Performance in the Iranian Pharmaceutical Industry: The Mediating Role of TQM. </w:t>
      </w:r>
      <w:r>
        <w:rPr>
          <w:i/>
        </w:rPr>
        <w:t>Journal</w:t>
      </w:r>
      <w:r>
        <w:rPr>
          <w:i/>
          <w:spacing w:val="-44"/>
        </w:rPr>
        <w:t xml:space="preserve"> </w:t>
      </w:r>
      <w:r>
        <w:rPr>
          <w:i/>
        </w:rPr>
        <w:t>of Cleaner</w:t>
      </w:r>
      <w:r>
        <w:rPr>
          <w:i/>
          <w:spacing w:val="-1"/>
        </w:rPr>
        <w:t xml:space="preserve"> </w:t>
      </w:r>
      <w:r>
        <w:rPr>
          <w:i/>
        </w:rPr>
        <w:t>Production</w:t>
      </w:r>
      <w:r>
        <w:t>,</w:t>
      </w:r>
      <w:r>
        <w:rPr>
          <w:spacing w:val="-2"/>
        </w:rPr>
        <w:t xml:space="preserve"> </w:t>
      </w:r>
      <w:r>
        <w:rPr>
          <w:i/>
        </w:rPr>
        <w:t>135</w:t>
      </w:r>
      <w:r>
        <w:t>,</w:t>
      </w:r>
      <w:r>
        <w:rPr>
          <w:spacing w:val="-3"/>
        </w:rPr>
        <w:t xml:space="preserve"> </w:t>
      </w:r>
      <w:r>
        <w:t>689–698.</w:t>
      </w:r>
      <w:r>
        <w:rPr>
          <w:spacing w:val="-1"/>
        </w:rPr>
        <w:t xml:space="preserve"> </w:t>
      </w:r>
      <w:r>
        <w:t>https://doi.org/10.1016/j.jclepro.2016.06.116</w:t>
      </w:r>
    </w:p>
    <w:p w14:paraId="6661BE9F" w14:textId="77777777" w:rsidR="00A07ECC" w:rsidRDefault="00BE4EBF">
      <w:pPr>
        <w:pStyle w:val="BodyText"/>
        <w:ind w:left="844" w:right="140" w:hanging="567"/>
        <w:jc w:val="both"/>
      </w:pPr>
      <w:r>
        <w:t>NCSR. (2019).</w:t>
      </w:r>
      <w:r>
        <w:rPr>
          <w:spacing w:val="1"/>
        </w:rPr>
        <w:t xml:space="preserve"> </w:t>
      </w:r>
      <w:r>
        <w:t>Asia Sustainability Reporting</w:t>
      </w:r>
      <w:r>
        <w:rPr>
          <w:spacing w:val="1"/>
        </w:rPr>
        <w:t xml:space="preserve"> </w:t>
      </w:r>
      <w:r>
        <w:t>Rating</w:t>
      </w:r>
      <w:r>
        <w:rPr>
          <w:spacing w:val="1"/>
        </w:rPr>
        <w:t xml:space="preserve"> </w:t>
      </w:r>
      <w:r>
        <w:t>(Asia</w:t>
      </w:r>
      <w:r>
        <w:rPr>
          <w:spacing w:val="1"/>
        </w:rPr>
        <w:t xml:space="preserve"> </w:t>
      </w:r>
      <w:r>
        <w:t>SR Rating)</w:t>
      </w:r>
      <w:r>
        <w:rPr>
          <w:spacing w:val="1"/>
        </w:rPr>
        <w:t xml:space="preserve"> </w:t>
      </w:r>
      <w:r>
        <w:t>2018. Retrieved March</w:t>
      </w:r>
      <w:r>
        <w:rPr>
          <w:spacing w:val="1"/>
        </w:rPr>
        <w:t xml:space="preserve"> </w:t>
      </w:r>
      <w:r>
        <w:t>5, 2019,</w:t>
      </w:r>
      <w:r>
        <w:rPr>
          <w:spacing w:val="1"/>
        </w:rPr>
        <w:t xml:space="preserve"> </w:t>
      </w:r>
      <w:r>
        <w:t>from</w:t>
      </w:r>
      <w:r>
        <w:rPr>
          <w:spacing w:val="1"/>
        </w:rPr>
        <w:t xml:space="preserve"> </w:t>
      </w:r>
      <w:r>
        <w:t>https://</w:t>
      </w:r>
      <w:hyperlink r:id="rId14">
        <w:r>
          <w:t>www.ncsr-id.org/2019/02/12/sustainability-reporting-awards-sra-2018/</w:t>
        </w:r>
      </w:hyperlink>
    </w:p>
    <w:p w14:paraId="4EDAD551" w14:textId="77777777" w:rsidR="00A07ECC" w:rsidRDefault="00BE4EBF">
      <w:pPr>
        <w:ind w:left="844" w:right="132" w:hanging="567"/>
        <w:jc w:val="both"/>
      </w:pPr>
      <w:proofErr w:type="spellStart"/>
      <w:r>
        <w:t>Nyarku</w:t>
      </w:r>
      <w:proofErr w:type="spellEnd"/>
      <w:r>
        <w:t>, K. M., &amp; Oduro, S. (2019). The Mediating Effect of Supplier Relationship Management on CSR and</w:t>
      </w:r>
      <w:r>
        <w:rPr>
          <w:spacing w:val="1"/>
        </w:rPr>
        <w:t xml:space="preserve"> </w:t>
      </w:r>
      <w:r>
        <w:t xml:space="preserve">Marketing Performance Relationship. </w:t>
      </w:r>
      <w:r>
        <w:rPr>
          <w:i/>
        </w:rPr>
        <w:t>Indonesian Journal of Sustainability Accounting and Management</w:t>
      </w:r>
      <w:r>
        <w:t>,</w:t>
      </w:r>
      <w:r>
        <w:rPr>
          <w:spacing w:val="1"/>
        </w:rPr>
        <w:t xml:space="preserve"> </w:t>
      </w:r>
      <w:r>
        <w:rPr>
          <w:i/>
        </w:rPr>
        <w:t>3</w:t>
      </w:r>
      <w:r>
        <w:t>(1),</w:t>
      </w:r>
      <w:r>
        <w:rPr>
          <w:spacing w:val="-1"/>
        </w:rPr>
        <w:t xml:space="preserve"> </w:t>
      </w:r>
      <w:r>
        <w:t>1–13. https://doi.org/10.28992/ijsam.v3i1.58</w:t>
      </w:r>
    </w:p>
    <w:p w14:paraId="3C36726C" w14:textId="77777777" w:rsidR="00A07ECC" w:rsidRDefault="00BE4EBF">
      <w:pPr>
        <w:pStyle w:val="BodyText"/>
        <w:ind w:left="844" w:right="132" w:hanging="567"/>
        <w:jc w:val="both"/>
      </w:pPr>
      <w:proofErr w:type="spellStart"/>
      <w:r>
        <w:rPr>
          <w:spacing w:val="-1"/>
        </w:rPr>
        <w:t>Nyeadi</w:t>
      </w:r>
      <w:proofErr w:type="spellEnd"/>
      <w:r>
        <w:rPr>
          <w:spacing w:val="-1"/>
        </w:rPr>
        <w:t>,</w:t>
      </w:r>
      <w:r>
        <w:rPr>
          <w:spacing w:val="-12"/>
        </w:rPr>
        <w:t xml:space="preserve"> </w:t>
      </w:r>
      <w:r>
        <w:rPr>
          <w:spacing w:val="-1"/>
        </w:rPr>
        <w:t>J.</w:t>
      </w:r>
      <w:r>
        <w:rPr>
          <w:spacing w:val="-11"/>
        </w:rPr>
        <w:t xml:space="preserve"> </w:t>
      </w:r>
      <w:r>
        <w:rPr>
          <w:spacing w:val="-1"/>
        </w:rPr>
        <w:t>D.,</w:t>
      </w:r>
      <w:r>
        <w:rPr>
          <w:spacing w:val="-13"/>
        </w:rPr>
        <w:t xml:space="preserve"> </w:t>
      </w:r>
      <w:r>
        <w:rPr>
          <w:spacing w:val="-1"/>
        </w:rPr>
        <w:t>Ibrahim,</w:t>
      </w:r>
      <w:r>
        <w:rPr>
          <w:spacing w:val="-13"/>
        </w:rPr>
        <w:t xml:space="preserve"> </w:t>
      </w:r>
      <w:r>
        <w:t>M.,</w:t>
      </w:r>
      <w:r>
        <w:rPr>
          <w:spacing w:val="-15"/>
        </w:rPr>
        <w:t xml:space="preserve"> </w:t>
      </w:r>
      <w:r>
        <w:t>&amp;</w:t>
      </w:r>
      <w:r>
        <w:rPr>
          <w:spacing w:val="-9"/>
        </w:rPr>
        <w:t xml:space="preserve"> </w:t>
      </w:r>
      <w:proofErr w:type="spellStart"/>
      <w:r>
        <w:t>Sare</w:t>
      </w:r>
      <w:proofErr w:type="spellEnd"/>
      <w:r>
        <w:t>,</w:t>
      </w:r>
      <w:r>
        <w:rPr>
          <w:spacing w:val="-13"/>
        </w:rPr>
        <w:t xml:space="preserve"> </w:t>
      </w:r>
      <w:r>
        <w:t>Y.</w:t>
      </w:r>
      <w:r>
        <w:rPr>
          <w:spacing w:val="-13"/>
        </w:rPr>
        <w:t xml:space="preserve"> </w:t>
      </w:r>
      <w:r>
        <w:t>A.</w:t>
      </w:r>
      <w:r>
        <w:rPr>
          <w:spacing w:val="-10"/>
        </w:rPr>
        <w:t xml:space="preserve"> </w:t>
      </w:r>
      <w:r>
        <w:t>(2018).</w:t>
      </w:r>
      <w:r>
        <w:rPr>
          <w:spacing w:val="-12"/>
        </w:rPr>
        <w:t xml:space="preserve"> </w:t>
      </w:r>
      <w:r>
        <w:t>Corporate</w:t>
      </w:r>
      <w:r>
        <w:rPr>
          <w:spacing w:val="-11"/>
        </w:rPr>
        <w:t xml:space="preserve"> </w:t>
      </w:r>
      <w:r>
        <w:t>Social</w:t>
      </w:r>
      <w:r>
        <w:rPr>
          <w:spacing w:val="-13"/>
        </w:rPr>
        <w:t xml:space="preserve"> </w:t>
      </w:r>
      <w:r>
        <w:t>Responsibility</w:t>
      </w:r>
      <w:r>
        <w:rPr>
          <w:spacing w:val="-12"/>
        </w:rPr>
        <w:t xml:space="preserve"> </w:t>
      </w:r>
      <w:r>
        <w:t>and</w:t>
      </w:r>
      <w:r>
        <w:rPr>
          <w:spacing w:val="-11"/>
        </w:rPr>
        <w:t xml:space="preserve"> </w:t>
      </w:r>
      <w:r>
        <w:t>Financial</w:t>
      </w:r>
      <w:r>
        <w:rPr>
          <w:spacing w:val="-13"/>
        </w:rPr>
        <w:t xml:space="preserve"> </w:t>
      </w:r>
      <w:r>
        <w:t>Performance</w:t>
      </w:r>
      <w:r>
        <w:rPr>
          <w:spacing w:val="-13"/>
        </w:rPr>
        <w:t xml:space="preserve"> </w:t>
      </w:r>
      <w:r>
        <w:t>Nexus:</w:t>
      </w:r>
      <w:r>
        <w:rPr>
          <w:spacing w:val="1"/>
        </w:rPr>
        <w:t xml:space="preserve"> </w:t>
      </w:r>
      <w:r>
        <w:t>Empirical</w:t>
      </w:r>
      <w:r>
        <w:rPr>
          <w:spacing w:val="1"/>
        </w:rPr>
        <w:t xml:space="preserve"> </w:t>
      </w:r>
      <w:r>
        <w:t>Evidence</w:t>
      </w:r>
      <w:r>
        <w:rPr>
          <w:spacing w:val="1"/>
        </w:rPr>
        <w:t xml:space="preserve"> </w:t>
      </w:r>
      <w:r>
        <w:t>from</w:t>
      </w:r>
      <w:r>
        <w:rPr>
          <w:spacing w:val="1"/>
        </w:rPr>
        <w:t xml:space="preserve"> </w:t>
      </w:r>
      <w:r>
        <w:t>South</w:t>
      </w:r>
      <w:r>
        <w:rPr>
          <w:spacing w:val="1"/>
        </w:rPr>
        <w:t xml:space="preserve"> </w:t>
      </w:r>
      <w:r>
        <w:t>African</w:t>
      </w:r>
      <w:r>
        <w:rPr>
          <w:spacing w:val="1"/>
        </w:rPr>
        <w:t xml:space="preserve"> </w:t>
      </w:r>
      <w:r>
        <w:t>Listed</w:t>
      </w:r>
      <w:r>
        <w:rPr>
          <w:spacing w:val="1"/>
        </w:rPr>
        <w:t xml:space="preserve"> </w:t>
      </w:r>
      <w:r>
        <w:t>Firms.</w:t>
      </w:r>
      <w:r>
        <w:rPr>
          <w:spacing w:val="1"/>
        </w:rPr>
        <w:t xml:space="preserve"> </w:t>
      </w:r>
      <w:r>
        <w:rPr>
          <w:i/>
        </w:rPr>
        <w:t>Journal</w:t>
      </w:r>
      <w:r>
        <w:rPr>
          <w:i/>
          <w:spacing w:val="1"/>
        </w:rPr>
        <w:t xml:space="preserve"> </w:t>
      </w:r>
      <w:r>
        <w:rPr>
          <w:i/>
        </w:rPr>
        <w:t>of</w:t>
      </w:r>
      <w:r>
        <w:rPr>
          <w:i/>
          <w:spacing w:val="1"/>
        </w:rPr>
        <w:t xml:space="preserve"> </w:t>
      </w:r>
      <w:r>
        <w:rPr>
          <w:i/>
        </w:rPr>
        <w:t>Global</w:t>
      </w:r>
      <w:r>
        <w:rPr>
          <w:i/>
          <w:spacing w:val="1"/>
        </w:rPr>
        <w:t xml:space="preserve"> </w:t>
      </w:r>
      <w:r>
        <w:rPr>
          <w:i/>
        </w:rPr>
        <w:t>Responsibility</w:t>
      </w:r>
      <w:r>
        <w:t>,</w:t>
      </w:r>
      <w:r>
        <w:rPr>
          <w:spacing w:val="1"/>
        </w:rPr>
        <w:t xml:space="preserve"> </w:t>
      </w:r>
      <w:r>
        <w:rPr>
          <w:i/>
        </w:rPr>
        <w:t>9</w:t>
      </w:r>
      <w:r>
        <w:t>(3),</w:t>
      </w:r>
      <w:r>
        <w:rPr>
          <w:spacing w:val="1"/>
        </w:rPr>
        <w:t xml:space="preserve"> </w:t>
      </w:r>
      <w:r>
        <w:t>301–328.</w:t>
      </w:r>
      <w:r>
        <w:rPr>
          <w:spacing w:val="-45"/>
        </w:rPr>
        <w:t xml:space="preserve"> </w:t>
      </w:r>
      <w:r>
        <w:t>https://doi.org/10.1108/JGR-01-2018-0004</w:t>
      </w:r>
    </w:p>
    <w:p w14:paraId="0FD06597" w14:textId="77777777" w:rsidR="00A07ECC" w:rsidRDefault="00A07ECC">
      <w:pPr>
        <w:jc w:val="both"/>
        <w:sectPr w:rsidR="00A07ECC">
          <w:headerReference w:type="default" r:id="rId15"/>
          <w:footerReference w:type="default" r:id="rId16"/>
          <w:pgSz w:w="11910" w:h="16840"/>
          <w:pgMar w:top="1180" w:right="660" w:bottom="880" w:left="680" w:header="903" w:footer="696" w:gutter="0"/>
          <w:cols w:space="720"/>
        </w:sectPr>
      </w:pPr>
    </w:p>
    <w:p w14:paraId="48D608DA" w14:textId="77777777" w:rsidR="00A07ECC" w:rsidRDefault="00A07ECC">
      <w:pPr>
        <w:pStyle w:val="BodyText"/>
        <w:rPr>
          <w:sz w:val="20"/>
        </w:rPr>
      </w:pPr>
    </w:p>
    <w:p w14:paraId="561E7979" w14:textId="77777777" w:rsidR="00A07ECC" w:rsidRDefault="00A07ECC">
      <w:pPr>
        <w:pStyle w:val="BodyText"/>
        <w:spacing w:before="5"/>
        <w:rPr>
          <w:sz w:val="29"/>
        </w:rPr>
      </w:pPr>
    </w:p>
    <w:p w14:paraId="6A26EE79" w14:textId="77777777" w:rsidR="00A07ECC" w:rsidRDefault="00BE4EBF">
      <w:pPr>
        <w:pStyle w:val="BodyText"/>
        <w:spacing w:before="51"/>
        <w:ind w:left="686" w:right="290" w:hanging="567"/>
        <w:jc w:val="both"/>
      </w:pPr>
      <w:r>
        <w:t>Pérez,</w:t>
      </w:r>
      <w:r>
        <w:rPr>
          <w:spacing w:val="-8"/>
        </w:rPr>
        <w:t xml:space="preserve"> </w:t>
      </w:r>
      <w:r>
        <w:t>A.,</w:t>
      </w:r>
      <w:r>
        <w:rPr>
          <w:spacing w:val="-12"/>
        </w:rPr>
        <w:t xml:space="preserve"> </w:t>
      </w:r>
      <w:r>
        <w:t>Martínez,</w:t>
      </w:r>
      <w:r>
        <w:rPr>
          <w:spacing w:val="-9"/>
        </w:rPr>
        <w:t xml:space="preserve"> </w:t>
      </w:r>
      <w:r>
        <w:t>P.,</w:t>
      </w:r>
      <w:r>
        <w:rPr>
          <w:spacing w:val="-9"/>
        </w:rPr>
        <w:t xml:space="preserve"> </w:t>
      </w:r>
      <w:r>
        <w:t>&amp;</w:t>
      </w:r>
      <w:r>
        <w:rPr>
          <w:spacing w:val="-8"/>
        </w:rPr>
        <w:t xml:space="preserve"> </w:t>
      </w:r>
      <w:r>
        <w:t>del</w:t>
      </w:r>
      <w:r>
        <w:rPr>
          <w:spacing w:val="-9"/>
        </w:rPr>
        <w:t xml:space="preserve"> </w:t>
      </w:r>
      <w:r>
        <w:t>Bosque,</w:t>
      </w:r>
      <w:r>
        <w:rPr>
          <w:spacing w:val="-9"/>
        </w:rPr>
        <w:t xml:space="preserve"> </w:t>
      </w:r>
      <w:r>
        <w:t>I.</w:t>
      </w:r>
      <w:r>
        <w:rPr>
          <w:spacing w:val="-9"/>
        </w:rPr>
        <w:t xml:space="preserve"> </w:t>
      </w:r>
      <w:r>
        <w:t>R.</w:t>
      </w:r>
      <w:r>
        <w:rPr>
          <w:spacing w:val="-9"/>
        </w:rPr>
        <w:t xml:space="preserve"> </w:t>
      </w:r>
      <w:r>
        <w:t>(2013).</w:t>
      </w:r>
      <w:r>
        <w:rPr>
          <w:spacing w:val="-9"/>
        </w:rPr>
        <w:t xml:space="preserve"> </w:t>
      </w:r>
      <w:r>
        <w:t>The</w:t>
      </w:r>
      <w:r>
        <w:rPr>
          <w:spacing w:val="-10"/>
        </w:rPr>
        <w:t xml:space="preserve"> </w:t>
      </w:r>
      <w:r>
        <w:t>Development</w:t>
      </w:r>
      <w:r>
        <w:rPr>
          <w:spacing w:val="-9"/>
        </w:rPr>
        <w:t xml:space="preserve"> </w:t>
      </w:r>
      <w:r>
        <w:t>of</w:t>
      </w:r>
      <w:r>
        <w:rPr>
          <w:spacing w:val="-9"/>
        </w:rPr>
        <w:t xml:space="preserve"> </w:t>
      </w:r>
      <w:r>
        <w:t>a</w:t>
      </w:r>
      <w:r>
        <w:rPr>
          <w:spacing w:val="-9"/>
        </w:rPr>
        <w:t xml:space="preserve"> </w:t>
      </w:r>
      <w:r>
        <w:t>Stakeholder-Based</w:t>
      </w:r>
      <w:r>
        <w:rPr>
          <w:spacing w:val="-8"/>
        </w:rPr>
        <w:t xml:space="preserve"> </w:t>
      </w:r>
      <w:r>
        <w:t>Scale</w:t>
      </w:r>
      <w:r>
        <w:rPr>
          <w:spacing w:val="-9"/>
        </w:rPr>
        <w:t xml:space="preserve"> </w:t>
      </w:r>
      <w:r>
        <w:t>for</w:t>
      </w:r>
      <w:r>
        <w:rPr>
          <w:spacing w:val="-8"/>
        </w:rPr>
        <w:t xml:space="preserve"> </w:t>
      </w:r>
      <w:r>
        <w:t>Measuring</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in</w:t>
      </w:r>
      <w:r>
        <w:rPr>
          <w:spacing w:val="1"/>
        </w:rPr>
        <w:t xml:space="preserve"> </w:t>
      </w:r>
      <w:r>
        <w:t>the</w:t>
      </w:r>
      <w:r>
        <w:rPr>
          <w:spacing w:val="1"/>
        </w:rPr>
        <w:t xml:space="preserve"> </w:t>
      </w:r>
      <w:r>
        <w:t>Banking</w:t>
      </w:r>
      <w:r>
        <w:rPr>
          <w:spacing w:val="1"/>
        </w:rPr>
        <w:t xml:space="preserve"> </w:t>
      </w:r>
      <w:r>
        <w:t>Industry.</w:t>
      </w:r>
      <w:r>
        <w:rPr>
          <w:spacing w:val="1"/>
        </w:rPr>
        <w:t xml:space="preserve"> </w:t>
      </w:r>
      <w:r>
        <w:rPr>
          <w:i/>
        </w:rPr>
        <w:t>Service</w:t>
      </w:r>
      <w:r>
        <w:rPr>
          <w:i/>
          <w:spacing w:val="1"/>
        </w:rPr>
        <w:t xml:space="preserve"> </w:t>
      </w:r>
      <w:r>
        <w:rPr>
          <w:i/>
        </w:rPr>
        <w:t>Business</w:t>
      </w:r>
      <w:r>
        <w:t>,</w:t>
      </w:r>
      <w:r>
        <w:rPr>
          <w:spacing w:val="1"/>
        </w:rPr>
        <w:t xml:space="preserve"> </w:t>
      </w:r>
      <w:r>
        <w:rPr>
          <w:i/>
        </w:rPr>
        <w:t>7</w:t>
      </w:r>
      <w:r>
        <w:t>(3),</w:t>
      </w:r>
      <w:r>
        <w:rPr>
          <w:spacing w:val="1"/>
        </w:rPr>
        <w:t xml:space="preserve"> </w:t>
      </w:r>
      <w:r>
        <w:t>459–481.</w:t>
      </w:r>
      <w:r>
        <w:rPr>
          <w:spacing w:val="1"/>
        </w:rPr>
        <w:t xml:space="preserve"> </w:t>
      </w:r>
      <w:r>
        <w:t>https://doi.org/10.1007/s11628-012-0171-9</w:t>
      </w:r>
    </w:p>
    <w:p w14:paraId="729777CA" w14:textId="77777777" w:rsidR="00A07ECC" w:rsidRDefault="00BE4EBF">
      <w:pPr>
        <w:ind w:left="686" w:right="296" w:hanging="567"/>
        <w:jc w:val="both"/>
      </w:pPr>
      <w:r>
        <w:rPr>
          <w:spacing w:val="-1"/>
        </w:rPr>
        <w:t>Reddy,</w:t>
      </w:r>
      <w:r>
        <w:rPr>
          <w:spacing w:val="-7"/>
        </w:rPr>
        <w:t xml:space="preserve"> </w:t>
      </w:r>
      <w:r>
        <w:rPr>
          <w:spacing w:val="-1"/>
        </w:rPr>
        <w:t>K.,</w:t>
      </w:r>
      <w:r>
        <w:rPr>
          <w:spacing w:val="-11"/>
        </w:rPr>
        <w:t xml:space="preserve"> </w:t>
      </w:r>
      <w:r>
        <w:rPr>
          <w:spacing w:val="-1"/>
        </w:rPr>
        <w:t>&amp;</w:t>
      </w:r>
      <w:r>
        <w:rPr>
          <w:spacing w:val="-9"/>
        </w:rPr>
        <w:t xml:space="preserve"> </w:t>
      </w:r>
      <w:r>
        <w:rPr>
          <w:spacing w:val="-1"/>
        </w:rPr>
        <w:t>Gordon,</w:t>
      </w:r>
      <w:r>
        <w:rPr>
          <w:spacing w:val="-7"/>
        </w:rPr>
        <w:t xml:space="preserve"> </w:t>
      </w:r>
      <w:r>
        <w:rPr>
          <w:spacing w:val="-1"/>
        </w:rPr>
        <w:t>L.</w:t>
      </w:r>
      <w:r>
        <w:rPr>
          <w:spacing w:val="-10"/>
        </w:rPr>
        <w:t xml:space="preserve"> </w:t>
      </w:r>
      <w:r>
        <w:rPr>
          <w:spacing w:val="-1"/>
        </w:rPr>
        <w:t>W.</w:t>
      </w:r>
      <w:r>
        <w:rPr>
          <w:spacing w:val="-13"/>
        </w:rPr>
        <w:t xml:space="preserve"> </w:t>
      </w:r>
      <w:r>
        <w:rPr>
          <w:spacing w:val="-1"/>
        </w:rPr>
        <w:t>(2010).</w:t>
      </w:r>
      <w:r>
        <w:rPr>
          <w:spacing w:val="-8"/>
        </w:rPr>
        <w:t xml:space="preserve"> </w:t>
      </w:r>
      <w:r>
        <w:rPr>
          <w:spacing w:val="-1"/>
        </w:rPr>
        <w:t>The</w:t>
      </w:r>
      <w:r>
        <w:rPr>
          <w:spacing w:val="-10"/>
        </w:rPr>
        <w:t xml:space="preserve"> </w:t>
      </w:r>
      <w:r>
        <w:t>Effect</w:t>
      </w:r>
      <w:r>
        <w:rPr>
          <w:spacing w:val="-8"/>
        </w:rPr>
        <w:t xml:space="preserve"> </w:t>
      </w:r>
      <w:r>
        <w:t>of</w:t>
      </w:r>
      <w:r>
        <w:rPr>
          <w:spacing w:val="-8"/>
        </w:rPr>
        <w:t xml:space="preserve"> </w:t>
      </w:r>
      <w:r>
        <w:t>Sustainability</w:t>
      </w:r>
      <w:r>
        <w:rPr>
          <w:spacing w:val="-8"/>
        </w:rPr>
        <w:t xml:space="preserve"> </w:t>
      </w:r>
      <w:r>
        <w:t>Reporting</w:t>
      </w:r>
      <w:r>
        <w:rPr>
          <w:spacing w:val="-9"/>
        </w:rPr>
        <w:t xml:space="preserve"> </w:t>
      </w:r>
      <w:r>
        <w:t>on</w:t>
      </w:r>
      <w:r>
        <w:rPr>
          <w:spacing w:val="-9"/>
        </w:rPr>
        <w:t xml:space="preserve"> </w:t>
      </w:r>
      <w:r>
        <w:t>Financial</w:t>
      </w:r>
      <w:r>
        <w:rPr>
          <w:spacing w:val="-10"/>
        </w:rPr>
        <w:t xml:space="preserve"> </w:t>
      </w:r>
      <w:r>
        <w:t>Performance:</w:t>
      </w:r>
      <w:r>
        <w:rPr>
          <w:spacing w:val="-11"/>
        </w:rPr>
        <w:t xml:space="preserve"> </w:t>
      </w:r>
      <w:r>
        <w:t>An</w:t>
      </w:r>
      <w:r>
        <w:rPr>
          <w:spacing w:val="-7"/>
        </w:rPr>
        <w:t xml:space="preserve"> </w:t>
      </w:r>
      <w:r>
        <w:t>Empirical</w:t>
      </w:r>
      <w:r>
        <w:rPr>
          <w:spacing w:val="1"/>
        </w:rPr>
        <w:t xml:space="preserve"> </w:t>
      </w:r>
      <w:r>
        <w:t>Study</w:t>
      </w:r>
      <w:r>
        <w:rPr>
          <w:spacing w:val="-1"/>
        </w:rPr>
        <w:t xml:space="preserve"> </w:t>
      </w:r>
      <w:r>
        <w:t>using</w:t>
      </w:r>
      <w:r>
        <w:rPr>
          <w:spacing w:val="-1"/>
        </w:rPr>
        <w:t xml:space="preserve"> </w:t>
      </w:r>
      <w:r>
        <w:t>Listed</w:t>
      </w:r>
      <w:r>
        <w:rPr>
          <w:spacing w:val="-3"/>
        </w:rPr>
        <w:t xml:space="preserve"> </w:t>
      </w:r>
      <w:r>
        <w:t>Companies.</w:t>
      </w:r>
      <w:r>
        <w:rPr>
          <w:spacing w:val="1"/>
        </w:rPr>
        <w:t xml:space="preserve"> </w:t>
      </w:r>
      <w:r>
        <w:rPr>
          <w:i/>
        </w:rPr>
        <w:t>Journal</w:t>
      </w:r>
      <w:r>
        <w:rPr>
          <w:i/>
          <w:spacing w:val="-4"/>
        </w:rPr>
        <w:t xml:space="preserve"> </w:t>
      </w:r>
      <w:r>
        <w:rPr>
          <w:i/>
        </w:rPr>
        <w:t>of Asia</w:t>
      </w:r>
      <w:r>
        <w:rPr>
          <w:i/>
          <w:spacing w:val="-3"/>
        </w:rPr>
        <w:t xml:space="preserve"> </w:t>
      </w:r>
      <w:r>
        <w:rPr>
          <w:i/>
        </w:rPr>
        <w:t>Entrepreneurship</w:t>
      </w:r>
      <w:r>
        <w:rPr>
          <w:i/>
          <w:spacing w:val="-2"/>
        </w:rPr>
        <w:t xml:space="preserve"> </w:t>
      </w:r>
      <w:r>
        <w:rPr>
          <w:i/>
        </w:rPr>
        <w:t>and</w:t>
      </w:r>
      <w:r>
        <w:rPr>
          <w:i/>
          <w:spacing w:val="-3"/>
        </w:rPr>
        <w:t xml:space="preserve"> </w:t>
      </w:r>
      <w:r>
        <w:rPr>
          <w:i/>
        </w:rPr>
        <w:t>Sustainability</w:t>
      </w:r>
      <w:r>
        <w:t>,</w:t>
      </w:r>
      <w:r>
        <w:rPr>
          <w:spacing w:val="-1"/>
        </w:rPr>
        <w:t xml:space="preserve"> </w:t>
      </w:r>
      <w:r>
        <w:rPr>
          <w:i/>
        </w:rPr>
        <w:t>6</w:t>
      </w:r>
      <w:r>
        <w:t>(2),</w:t>
      </w:r>
      <w:r>
        <w:rPr>
          <w:spacing w:val="-1"/>
        </w:rPr>
        <w:t xml:space="preserve"> </w:t>
      </w:r>
      <w:r>
        <w:t>19–42.</w:t>
      </w:r>
    </w:p>
    <w:p w14:paraId="37DB6670" w14:textId="77777777" w:rsidR="00A07ECC" w:rsidRDefault="00BE4EBF">
      <w:pPr>
        <w:ind w:left="686" w:right="295" w:hanging="567"/>
        <w:jc w:val="both"/>
      </w:pPr>
      <w:proofErr w:type="spellStart"/>
      <w:r>
        <w:t>Rhou</w:t>
      </w:r>
      <w:proofErr w:type="spellEnd"/>
      <w:r>
        <w:t xml:space="preserve">, Y., </w:t>
      </w:r>
      <w:proofErr w:type="spellStart"/>
      <w:r>
        <w:t>Singal</w:t>
      </w:r>
      <w:proofErr w:type="spellEnd"/>
      <w:r>
        <w:t>, M., &amp; Koh, Y. (2016). CSR and Financial Performance: The Role of CSR Awareness in the</w:t>
      </w:r>
      <w:r>
        <w:rPr>
          <w:spacing w:val="1"/>
        </w:rPr>
        <w:t xml:space="preserve"> </w:t>
      </w:r>
      <w:r>
        <w:t>Restaurant</w:t>
      </w:r>
      <w:r>
        <w:rPr>
          <w:spacing w:val="1"/>
        </w:rPr>
        <w:t xml:space="preserve"> </w:t>
      </w:r>
      <w:r>
        <w:t>Industry.</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Hospitality</w:t>
      </w:r>
      <w:r>
        <w:rPr>
          <w:i/>
          <w:spacing w:val="1"/>
        </w:rPr>
        <w:t xml:space="preserve"> </w:t>
      </w:r>
      <w:r>
        <w:rPr>
          <w:i/>
        </w:rPr>
        <w:t>Management</w:t>
      </w:r>
      <w:r>
        <w:t>,</w:t>
      </w:r>
      <w:r>
        <w:rPr>
          <w:spacing w:val="1"/>
        </w:rPr>
        <w:t xml:space="preserve"> </w:t>
      </w:r>
      <w:r>
        <w:rPr>
          <w:i/>
        </w:rPr>
        <w:t>57</w:t>
      </w:r>
      <w:r>
        <w:t>,</w:t>
      </w:r>
      <w:r>
        <w:rPr>
          <w:spacing w:val="1"/>
        </w:rPr>
        <w:t xml:space="preserve"> </w:t>
      </w:r>
      <w:r>
        <w:t>30–39.</w:t>
      </w:r>
      <w:r>
        <w:rPr>
          <w:spacing w:val="1"/>
        </w:rPr>
        <w:t xml:space="preserve"> </w:t>
      </w:r>
      <w:r>
        <w:t>https://doi.org/10.1016/j.ijhm.2016.05.007</w:t>
      </w:r>
    </w:p>
    <w:p w14:paraId="76F59972" w14:textId="77777777" w:rsidR="00A07ECC" w:rsidRDefault="00BE4EBF">
      <w:pPr>
        <w:pStyle w:val="BodyText"/>
        <w:ind w:left="686" w:right="293" w:hanging="567"/>
        <w:jc w:val="both"/>
      </w:pPr>
      <w:r>
        <w:t>Romero,</w:t>
      </w:r>
      <w:r>
        <w:rPr>
          <w:spacing w:val="1"/>
        </w:rPr>
        <w:t xml:space="preserve"> </w:t>
      </w:r>
      <w:r>
        <w:t>S.,</w:t>
      </w:r>
      <w:r>
        <w:rPr>
          <w:spacing w:val="1"/>
        </w:rPr>
        <w:t xml:space="preserve"> </w:t>
      </w:r>
      <w:r>
        <w:t>Fernandez-</w:t>
      </w:r>
      <w:proofErr w:type="spellStart"/>
      <w:r>
        <w:t>Feijoo</w:t>
      </w:r>
      <w:proofErr w:type="spellEnd"/>
      <w:r>
        <w:t>,</w:t>
      </w:r>
      <w:r>
        <w:rPr>
          <w:spacing w:val="1"/>
        </w:rPr>
        <w:t xml:space="preserve"> </w:t>
      </w:r>
      <w:r>
        <w:t>B.,</w:t>
      </w:r>
      <w:r>
        <w:rPr>
          <w:spacing w:val="1"/>
        </w:rPr>
        <w:t xml:space="preserve"> </w:t>
      </w:r>
      <w:r>
        <w:t>&amp;</w:t>
      </w:r>
      <w:r>
        <w:rPr>
          <w:spacing w:val="1"/>
        </w:rPr>
        <w:t xml:space="preserve"> </w:t>
      </w:r>
      <w:r>
        <w:t>Ruiz,</w:t>
      </w:r>
      <w:r>
        <w:rPr>
          <w:spacing w:val="1"/>
        </w:rPr>
        <w:t xml:space="preserve"> </w:t>
      </w:r>
      <w:r>
        <w:t>S. (2014).</w:t>
      </w:r>
      <w:r>
        <w:rPr>
          <w:spacing w:val="1"/>
        </w:rPr>
        <w:t xml:space="preserve"> </w:t>
      </w:r>
      <w:r>
        <w:t>Perceptions</w:t>
      </w:r>
      <w:r>
        <w:rPr>
          <w:spacing w:val="1"/>
        </w:rPr>
        <w:t xml:space="preserve"> </w:t>
      </w:r>
      <w:r>
        <w:t>of</w:t>
      </w:r>
      <w:r>
        <w:rPr>
          <w:spacing w:val="1"/>
        </w:rPr>
        <w:t xml:space="preserve"> </w:t>
      </w:r>
      <w:r>
        <w:t>Quality</w:t>
      </w:r>
      <w:r>
        <w:rPr>
          <w:spacing w:val="1"/>
        </w:rPr>
        <w:t xml:space="preserve"> </w:t>
      </w:r>
      <w:r>
        <w:t>of</w:t>
      </w:r>
      <w:r>
        <w:rPr>
          <w:spacing w:val="1"/>
        </w:rPr>
        <w:t xml:space="preserve"> </w:t>
      </w:r>
      <w:r>
        <w:t>Assurance</w:t>
      </w:r>
      <w:r>
        <w:rPr>
          <w:spacing w:val="1"/>
        </w:rPr>
        <w:t xml:space="preserve"> </w:t>
      </w:r>
      <w:r>
        <w:t>Statements</w:t>
      </w:r>
      <w:r>
        <w:rPr>
          <w:spacing w:val="1"/>
        </w:rPr>
        <w:t xml:space="preserve"> </w:t>
      </w:r>
      <w:r>
        <w:t>for</w:t>
      </w:r>
      <w:r>
        <w:rPr>
          <w:spacing w:val="1"/>
        </w:rPr>
        <w:t xml:space="preserve"> </w:t>
      </w:r>
      <w:r>
        <w:t xml:space="preserve">Sustainability Reports. </w:t>
      </w:r>
      <w:r>
        <w:rPr>
          <w:i/>
        </w:rPr>
        <w:t>Social Responsibility Journal</w:t>
      </w:r>
      <w:r>
        <w:t xml:space="preserve">, </w:t>
      </w:r>
      <w:r>
        <w:rPr>
          <w:i/>
        </w:rPr>
        <w:t>10</w:t>
      </w:r>
      <w:r>
        <w:t>(3), 480–499. https://doi.org/10.1108/SRJ-10-2012-</w:t>
      </w:r>
      <w:r>
        <w:rPr>
          <w:spacing w:val="1"/>
        </w:rPr>
        <w:t xml:space="preserve"> </w:t>
      </w:r>
      <w:r>
        <w:t>0130</w:t>
      </w:r>
    </w:p>
    <w:p w14:paraId="470CA48C" w14:textId="77777777" w:rsidR="00A07ECC" w:rsidRDefault="00BE4EBF">
      <w:pPr>
        <w:spacing w:line="268" w:lineRule="exact"/>
        <w:ind w:left="119"/>
        <w:jc w:val="both"/>
      </w:pPr>
      <w:r>
        <w:t>SAM.</w:t>
      </w:r>
      <w:r>
        <w:rPr>
          <w:spacing w:val="-2"/>
        </w:rPr>
        <w:t xml:space="preserve"> </w:t>
      </w:r>
      <w:r>
        <w:t>(2012).</w:t>
      </w:r>
      <w:r>
        <w:rPr>
          <w:spacing w:val="-1"/>
        </w:rPr>
        <w:t xml:space="preserve"> </w:t>
      </w:r>
      <w:r>
        <w:rPr>
          <w:i/>
        </w:rPr>
        <w:t>The</w:t>
      </w:r>
      <w:r>
        <w:rPr>
          <w:i/>
          <w:spacing w:val="-2"/>
        </w:rPr>
        <w:t xml:space="preserve"> </w:t>
      </w:r>
      <w:r>
        <w:rPr>
          <w:i/>
        </w:rPr>
        <w:t>Sustainability</w:t>
      </w:r>
      <w:r>
        <w:rPr>
          <w:i/>
          <w:spacing w:val="-2"/>
        </w:rPr>
        <w:t xml:space="preserve"> </w:t>
      </w:r>
      <w:r>
        <w:rPr>
          <w:i/>
        </w:rPr>
        <w:t>Yearbook</w:t>
      </w:r>
      <w:r>
        <w:rPr>
          <w:i/>
          <w:spacing w:val="-4"/>
        </w:rPr>
        <w:t xml:space="preserve"> </w:t>
      </w:r>
      <w:r>
        <w:rPr>
          <w:i/>
        </w:rPr>
        <w:t>2012</w:t>
      </w:r>
      <w:r>
        <w:t>.</w:t>
      </w:r>
      <w:r>
        <w:rPr>
          <w:spacing w:val="-2"/>
        </w:rPr>
        <w:t xml:space="preserve"> </w:t>
      </w:r>
      <w:r>
        <w:t>Zurich:</w:t>
      </w:r>
      <w:r>
        <w:rPr>
          <w:spacing w:val="-2"/>
        </w:rPr>
        <w:t xml:space="preserve"> </w:t>
      </w:r>
      <w:r>
        <w:t>SAM</w:t>
      </w:r>
      <w:r>
        <w:rPr>
          <w:spacing w:val="-1"/>
        </w:rPr>
        <w:t xml:space="preserve"> </w:t>
      </w:r>
      <w:r>
        <w:t>Sustainable</w:t>
      </w:r>
      <w:r>
        <w:rPr>
          <w:spacing w:val="-6"/>
        </w:rPr>
        <w:t xml:space="preserve"> </w:t>
      </w:r>
      <w:r>
        <w:t>Asset</w:t>
      </w:r>
      <w:r>
        <w:rPr>
          <w:spacing w:val="-4"/>
        </w:rPr>
        <w:t xml:space="preserve"> </w:t>
      </w:r>
      <w:r>
        <w:t>Management</w:t>
      </w:r>
      <w:r>
        <w:rPr>
          <w:spacing w:val="-5"/>
        </w:rPr>
        <w:t xml:space="preserve"> </w:t>
      </w:r>
      <w:r>
        <w:t>USA,</w:t>
      </w:r>
      <w:r>
        <w:rPr>
          <w:spacing w:val="-2"/>
        </w:rPr>
        <w:t xml:space="preserve"> </w:t>
      </w:r>
      <w:r>
        <w:t>Inc.</w:t>
      </w:r>
    </w:p>
    <w:p w14:paraId="4B116BB2" w14:textId="77777777" w:rsidR="00A07ECC" w:rsidRDefault="00BE4EBF">
      <w:pPr>
        <w:ind w:left="686" w:right="292" w:hanging="567"/>
        <w:jc w:val="both"/>
      </w:pPr>
      <w:r>
        <w:t xml:space="preserve">Sekaran, U., &amp; Bougie, R. (2016). </w:t>
      </w:r>
      <w:r>
        <w:rPr>
          <w:i/>
        </w:rPr>
        <w:t xml:space="preserve">Research Methods for Business: A Skill Building Approach </w:t>
      </w:r>
      <w:r>
        <w:t>(7th ed.). Chichester:</w:t>
      </w:r>
      <w:r>
        <w:rPr>
          <w:spacing w:val="-45"/>
        </w:rPr>
        <w:t xml:space="preserve"> </w:t>
      </w:r>
      <w:r>
        <w:t>John</w:t>
      </w:r>
      <w:r>
        <w:rPr>
          <w:spacing w:val="-1"/>
        </w:rPr>
        <w:t xml:space="preserve"> </w:t>
      </w:r>
      <w:r>
        <w:t>Wiley &amp;</w:t>
      </w:r>
      <w:r>
        <w:rPr>
          <w:spacing w:val="-1"/>
        </w:rPr>
        <w:t xml:space="preserve"> </w:t>
      </w:r>
      <w:r>
        <w:t>Sons, Inc.</w:t>
      </w:r>
    </w:p>
    <w:p w14:paraId="765D6786" w14:textId="77777777" w:rsidR="00A07ECC" w:rsidRDefault="00BE4EBF">
      <w:pPr>
        <w:pStyle w:val="BodyText"/>
        <w:ind w:left="686" w:right="298" w:hanging="567"/>
        <w:jc w:val="both"/>
      </w:pPr>
      <w:proofErr w:type="spellStart"/>
      <w:r>
        <w:t>Servaes</w:t>
      </w:r>
      <w:proofErr w:type="spellEnd"/>
      <w:r>
        <w:t>, H., &amp; Tamayo, A. (2013). The Impact of Corporate Social Responsibility on Firm Value: The Role of</w:t>
      </w:r>
      <w:r>
        <w:rPr>
          <w:spacing w:val="1"/>
        </w:rPr>
        <w:t xml:space="preserve"> </w:t>
      </w:r>
      <w:r>
        <w:t>Customer</w:t>
      </w:r>
      <w:r>
        <w:rPr>
          <w:spacing w:val="-5"/>
        </w:rPr>
        <w:t xml:space="preserve"> </w:t>
      </w:r>
      <w:r>
        <w:t>Awareness.</w:t>
      </w:r>
      <w:r>
        <w:rPr>
          <w:spacing w:val="-3"/>
        </w:rPr>
        <w:t xml:space="preserve"> </w:t>
      </w:r>
      <w:r>
        <w:rPr>
          <w:i/>
        </w:rPr>
        <w:t>Management</w:t>
      </w:r>
      <w:r>
        <w:rPr>
          <w:i/>
          <w:spacing w:val="-2"/>
        </w:rPr>
        <w:t xml:space="preserve"> </w:t>
      </w:r>
      <w:r>
        <w:rPr>
          <w:i/>
        </w:rPr>
        <w:t>Science</w:t>
      </w:r>
      <w:r>
        <w:t>,</w:t>
      </w:r>
      <w:r>
        <w:rPr>
          <w:spacing w:val="-4"/>
        </w:rPr>
        <w:t xml:space="preserve"> </w:t>
      </w:r>
      <w:r>
        <w:rPr>
          <w:i/>
        </w:rPr>
        <w:t>59</w:t>
      </w:r>
      <w:r>
        <w:t>(5),</w:t>
      </w:r>
      <w:r>
        <w:rPr>
          <w:spacing w:val="-2"/>
        </w:rPr>
        <w:t xml:space="preserve"> </w:t>
      </w:r>
      <w:r>
        <w:t>1045–1061.</w:t>
      </w:r>
      <w:r>
        <w:rPr>
          <w:spacing w:val="-3"/>
        </w:rPr>
        <w:t xml:space="preserve"> </w:t>
      </w:r>
      <w:r>
        <w:t>https://doi.org/10.1287/mnsc.1120.1630</w:t>
      </w:r>
    </w:p>
    <w:p w14:paraId="7859740A" w14:textId="77777777" w:rsidR="00A07ECC" w:rsidRDefault="00BE4EBF">
      <w:pPr>
        <w:pStyle w:val="BodyText"/>
        <w:ind w:left="686" w:right="292" w:hanging="567"/>
        <w:jc w:val="both"/>
      </w:pPr>
      <w:r>
        <w:t xml:space="preserve">Sheikh, S. (2018). Corporate Social Responsibility, Product Market Competition, and Firm Value. </w:t>
      </w:r>
      <w:r>
        <w:rPr>
          <w:i/>
        </w:rPr>
        <w:t>Journal of</w:t>
      </w:r>
      <w:r>
        <w:rPr>
          <w:i/>
          <w:spacing w:val="1"/>
        </w:rPr>
        <w:t xml:space="preserve"> </w:t>
      </w:r>
      <w:r>
        <w:rPr>
          <w:i/>
        </w:rPr>
        <w:t>Economics</w:t>
      </w:r>
      <w:r>
        <w:rPr>
          <w:i/>
          <w:spacing w:val="-1"/>
        </w:rPr>
        <w:t xml:space="preserve"> </w:t>
      </w:r>
      <w:r>
        <w:rPr>
          <w:i/>
        </w:rPr>
        <w:t>and Business</w:t>
      </w:r>
      <w:r>
        <w:t>,</w:t>
      </w:r>
      <w:r>
        <w:rPr>
          <w:spacing w:val="-1"/>
        </w:rPr>
        <w:t xml:space="preserve"> </w:t>
      </w:r>
      <w:r>
        <w:rPr>
          <w:i/>
        </w:rPr>
        <w:t>98</w:t>
      </w:r>
      <w:r>
        <w:t>,</w:t>
      </w:r>
      <w:r>
        <w:rPr>
          <w:spacing w:val="-1"/>
        </w:rPr>
        <w:t xml:space="preserve"> </w:t>
      </w:r>
      <w:r>
        <w:t>40–55.</w:t>
      </w:r>
      <w:r>
        <w:rPr>
          <w:spacing w:val="-1"/>
        </w:rPr>
        <w:t xml:space="preserve"> </w:t>
      </w:r>
      <w:r>
        <w:t>https://doi.org/10.1016/j.jeconbus.2018.07.001</w:t>
      </w:r>
    </w:p>
    <w:p w14:paraId="1AC5A749" w14:textId="77777777" w:rsidR="00A07ECC" w:rsidRDefault="00BE4EBF">
      <w:pPr>
        <w:pStyle w:val="BodyText"/>
        <w:spacing w:before="1"/>
        <w:ind w:left="686" w:right="290" w:hanging="567"/>
        <w:jc w:val="both"/>
      </w:pPr>
      <w:proofErr w:type="spellStart"/>
      <w:r>
        <w:t>SWAOnline</w:t>
      </w:r>
      <w:proofErr w:type="spellEnd"/>
      <w:r>
        <w:t>.</w:t>
      </w:r>
      <w:r>
        <w:rPr>
          <w:spacing w:val="-6"/>
        </w:rPr>
        <w:t xml:space="preserve"> </w:t>
      </w:r>
      <w:r>
        <w:t>(2013).</w:t>
      </w:r>
      <w:r>
        <w:rPr>
          <w:spacing w:val="-5"/>
        </w:rPr>
        <w:t xml:space="preserve"> </w:t>
      </w:r>
      <w:r>
        <w:t>Perusahaan</w:t>
      </w:r>
      <w:r>
        <w:rPr>
          <w:spacing w:val="-4"/>
        </w:rPr>
        <w:t xml:space="preserve"> </w:t>
      </w:r>
      <w:proofErr w:type="spellStart"/>
      <w:r>
        <w:t>Pembuat</w:t>
      </w:r>
      <w:proofErr w:type="spellEnd"/>
      <w:r>
        <w:rPr>
          <w:spacing w:val="-5"/>
        </w:rPr>
        <w:t xml:space="preserve"> </w:t>
      </w:r>
      <w:proofErr w:type="spellStart"/>
      <w:r>
        <w:t>Laporan</w:t>
      </w:r>
      <w:proofErr w:type="spellEnd"/>
      <w:r>
        <w:rPr>
          <w:spacing w:val="-5"/>
        </w:rPr>
        <w:t xml:space="preserve"> </w:t>
      </w:r>
      <w:proofErr w:type="spellStart"/>
      <w:r>
        <w:t>Keberlanjutan</w:t>
      </w:r>
      <w:proofErr w:type="spellEnd"/>
      <w:r>
        <w:rPr>
          <w:spacing w:val="-5"/>
        </w:rPr>
        <w:t xml:space="preserve"> </w:t>
      </w:r>
      <w:r>
        <w:t>Kian</w:t>
      </w:r>
      <w:r>
        <w:rPr>
          <w:spacing w:val="-4"/>
        </w:rPr>
        <w:t xml:space="preserve"> </w:t>
      </w:r>
      <w:r>
        <w:t>Banyak</w:t>
      </w:r>
      <w:r>
        <w:rPr>
          <w:spacing w:val="-7"/>
        </w:rPr>
        <w:t xml:space="preserve"> </w:t>
      </w:r>
      <w:r>
        <w:t>di</w:t>
      </w:r>
      <w:r>
        <w:rPr>
          <w:spacing w:val="-7"/>
        </w:rPr>
        <w:t xml:space="preserve"> </w:t>
      </w:r>
      <w:r>
        <w:t>Indonesia.</w:t>
      </w:r>
      <w:r>
        <w:rPr>
          <w:spacing w:val="-8"/>
        </w:rPr>
        <w:t xml:space="preserve"> </w:t>
      </w:r>
      <w:r>
        <w:t>Retrieved</w:t>
      </w:r>
      <w:r>
        <w:rPr>
          <w:spacing w:val="-4"/>
        </w:rPr>
        <w:t xml:space="preserve"> </w:t>
      </w:r>
      <w:r>
        <w:t>February</w:t>
      </w:r>
      <w:r>
        <w:rPr>
          <w:spacing w:val="-46"/>
        </w:rPr>
        <w:t xml:space="preserve"> </w:t>
      </w:r>
      <w:r>
        <w:t>10,</w:t>
      </w:r>
      <w:r>
        <w:rPr>
          <w:spacing w:val="1"/>
        </w:rPr>
        <w:t xml:space="preserve"> </w:t>
      </w:r>
      <w:r>
        <w:t>2019,</w:t>
      </w:r>
      <w:r>
        <w:rPr>
          <w:spacing w:val="1"/>
        </w:rPr>
        <w:t xml:space="preserve"> </w:t>
      </w:r>
      <w:r>
        <w:t>from</w:t>
      </w:r>
      <w:r>
        <w:rPr>
          <w:spacing w:val="1"/>
        </w:rPr>
        <w:t xml:space="preserve"> </w:t>
      </w:r>
      <w:r>
        <w:t>https://swa.co.id/swa/trends/business-research/perusahaan-pembuat-laporan-</w:t>
      </w:r>
      <w:r>
        <w:rPr>
          <w:spacing w:val="1"/>
        </w:rPr>
        <w:t xml:space="preserve"> </w:t>
      </w:r>
      <w:proofErr w:type="spellStart"/>
      <w:r>
        <w:t>keberlanjutan</w:t>
      </w:r>
      <w:proofErr w:type="spellEnd"/>
      <w:r>
        <w:t>-</w:t>
      </w:r>
      <w:proofErr w:type="spellStart"/>
      <w:r>
        <w:t>kian</w:t>
      </w:r>
      <w:proofErr w:type="spellEnd"/>
      <w:r>
        <w:t>-</w:t>
      </w:r>
      <w:proofErr w:type="spellStart"/>
      <w:r>
        <w:t>banyak</w:t>
      </w:r>
      <w:proofErr w:type="spellEnd"/>
      <w:r>
        <w:t>-di-</w:t>
      </w:r>
      <w:proofErr w:type="spellStart"/>
      <w:r>
        <w:t>indonesia</w:t>
      </w:r>
      <w:proofErr w:type="spellEnd"/>
    </w:p>
    <w:p w14:paraId="2BAF548B" w14:textId="77777777" w:rsidR="00A07ECC" w:rsidRDefault="00BE4EBF">
      <w:pPr>
        <w:spacing w:before="1"/>
        <w:ind w:left="686" w:right="294" w:hanging="567"/>
        <w:jc w:val="both"/>
      </w:pPr>
      <w:proofErr w:type="spellStart"/>
      <w:r>
        <w:t>Syamni</w:t>
      </w:r>
      <w:proofErr w:type="spellEnd"/>
      <w:r>
        <w:t xml:space="preserve">, G., </w:t>
      </w:r>
      <w:proofErr w:type="spellStart"/>
      <w:r>
        <w:t>Wahyuddin</w:t>
      </w:r>
      <w:proofErr w:type="spellEnd"/>
      <w:r>
        <w:t xml:space="preserve">, Damanhur, &amp; </w:t>
      </w:r>
      <w:proofErr w:type="spellStart"/>
      <w:r>
        <w:t>Ichsan</w:t>
      </w:r>
      <w:proofErr w:type="spellEnd"/>
      <w:r>
        <w:t>. (2018). CSR and Profitability in IDX Agricultural Subsectors. In</w:t>
      </w:r>
      <w:r>
        <w:rPr>
          <w:spacing w:val="1"/>
        </w:rPr>
        <w:t xml:space="preserve"> </w:t>
      </w:r>
      <w:r>
        <w:rPr>
          <w:i/>
        </w:rPr>
        <w:t xml:space="preserve">Proceedings of </w:t>
      </w:r>
      <w:proofErr w:type="spellStart"/>
      <w:r>
        <w:rPr>
          <w:i/>
        </w:rPr>
        <w:t>MICoMS</w:t>
      </w:r>
      <w:proofErr w:type="spellEnd"/>
      <w:r>
        <w:rPr>
          <w:i/>
        </w:rPr>
        <w:t xml:space="preserve"> 2017 (Emerald Reach Proceedings Series) </w:t>
      </w:r>
      <w:r>
        <w:t>(1st ed., pp. 511–517). Emerald Publishing</w:t>
      </w:r>
      <w:r>
        <w:rPr>
          <w:spacing w:val="-45"/>
        </w:rPr>
        <w:t xml:space="preserve"> </w:t>
      </w:r>
      <w:r>
        <w:t>Limited.</w:t>
      </w:r>
      <w:r>
        <w:rPr>
          <w:spacing w:val="-2"/>
        </w:rPr>
        <w:t xml:space="preserve"> </w:t>
      </w:r>
      <w:r>
        <w:t>https://doi.org/10.1108/978-1-78756-793-1-00034</w:t>
      </w:r>
    </w:p>
    <w:p w14:paraId="004B14BE" w14:textId="77777777" w:rsidR="00A07ECC" w:rsidRDefault="00BE4EBF">
      <w:pPr>
        <w:pStyle w:val="BodyText"/>
        <w:ind w:left="686" w:right="292" w:hanging="567"/>
        <w:jc w:val="both"/>
      </w:pPr>
      <w:proofErr w:type="spellStart"/>
      <w:r>
        <w:t>Verwijmeren</w:t>
      </w:r>
      <w:proofErr w:type="spellEnd"/>
      <w:r>
        <w:t xml:space="preserve">, P., &amp; </w:t>
      </w:r>
      <w:proofErr w:type="spellStart"/>
      <w:r>
        <w:t>Derwall</w:t>
      </w:r>
      <w:proofErr w:type="spellEnd"/>
      <w:r>
        <w:t xml:space="preserve">, J. (2010). Employee Well-Being, Firm Leverage, and Bankruptcy Risk. </w:t>
      </w:r>
      <w:r>
        <w:rPr>
          <w:i/>
        </w:rPr>
        <w:t>Journal of</w:t>
      </w:r>
      <w:r>
        <w:rPr>
          <w:i/>
          <w:spacing w:val="1"/>
        </w:rPr>
        <w:t xml:space="preserve"> </w:t>
      </w:r>
      <w:r>
        <w:rPr>
          <w:i/>
        </w:rPr>
        <w:t>Banking</w:t>
      </w:r>
      <w:r>
        <w:rPr>
          <w:i/>
          <w:spacing w:val="-1"/>
        </w:rPr>
        <w:t xml:space="preserve"> </w:t>
      </w:r>
      <w:r>
        <w:rPr>
          <w:i/>
        </w:rPr>
        <w:t>and</w:t>
      </w:r>
      <w:r>
        <w:rPr>
          <w:i/>
          <w:spacing w:val="-3"/>
        </w:rPr>
        <w:t xml:space="preserve"> </w:t>
      </w:r>
      <w:r>
        <w:rPr>
          <w:i/>
        </w:rPr>
        <w:t>Finance</w:t>
      </w:r>
      <w:r>
        <w:t>,</w:t>
      </w:r>
      <w:r>
        <w:rPr>
          <w:spacing w:val="-1"/>
        </w:rPr>
        <w:t xml:space="preserve"> </w:t>
      </w:r>
      <w:r>
        <w:rPr>
          <w:i/>
        </w:rPr>
        <w:t>34</w:t>
      </w:r>
      <w:r>
        <w:t>(5),</w:t>
      </w:r>
      <w:r>
        <w:rPr>
          <w:spacing w:val="-1"/>
        </w:rPr>
        <w:t xml:space="preserve"> </w:t>
      </w:r>
      <w:r>
        <w:t>956–964. https://doi.org/10.1016/j.jbankfin.2009.10.006</w:t>
      </w:r>
    </w:p>
    <w:p w14:paraId="5B6771FF" w14:textId="77777777" w:rsidR="00A07ECC" w:rsidRDefault="00BE4EBF">
      <w:pPr>
        <w:pStyle w:val="BodyText"/>
        <w:ind w:left="686" w:right="294" w:hanging="567"/>
        <w:jc w:val="both"/>
      </w:pPr>
      <w:proofErr w:type="spellStart"/>
      <w:r>
        <w:t>Zaccheaus</w:t>
      </w:r>
      <w:proofErr w:type="spellEnd"/>
      <w:r>
        <w:t xml:space="preserve">, S. A., </w:t>
      </w:r>
      <w:proofErr w:type="spellStart"/>
      <w:r>
        <w:t>Oluwagbemiga</w:t>
      </w:r>
      <w:proofErr w:type="spellEnd"/>
      <w:r>
        <w:t>, O. E., &amp; Olugbenga, O. M. (2014). Effects of Corporate Social Responsibility</w:t>
      </w:r>
      <w:r>
        <w:rPr>
          <w:spacing w:val="1"/>
        </w:rPr>
        <w:t xml:space="preserve"> </w:t>
      </w:r>
      <w:r>
        <w:t xml:space="preserve">Performance (CSR) on Stock Prices: Empirical Study of Listed Manufacturing Companies in Nigeria. </w:t>
      </w:r>
      <w:r>
        <w:rPr>
          <w:i/>
        </w:rPr>
        <w:t>IOSR</w:t>
      </w:r>
      <w:r>
        <w:rPr>
          <w:i/>
          <w:spacing w:val="-43"/>
        </w:rPr>
        <w:t xml:space="preserve"> </w:t>
      </w:r>
      <w:r>
        <w:rPr>
          <w:i/>
        </w:rPr>
        <w:t>Journal</w:t>
      </w:r>
      <w:r>
        <w:rPr>
          <w:i/>
          <w:spacing w:val="-2"/>
        </w:rPr>
        <w:t xml:space="preserve"> </w:t>
      </w:r>
      <w:r>
        <w:rPr>
          <w:i/>
        </w:rPr>
        <w:t>of Business and</w:t>
      </w:r>
      <w:r>
        <w:rPr>
          <w:i/>
          <w:spacing w:val="-2"/>
        </w:rPr>
        <w:t xml:space="preserve"> </w:t>
      </w:r>
      <w:r>
        <w:rPr>
          <w:i/>
        </w:rPr>
        <w:t>Management</w:t>
      </w:r>
      <w:r>
        <w:t>,</w:t>
      </w:r>
      <w:r>
        <w:rPr>
          <w:spacing w:val="-1"/>
        </w:rPr>
        <w:t xml:space="preserve"> </w:t>
      </w:r>
      <w:r>
        <w:rPr>
          <w:i/>
        </w:rPr>
        <w:t>16</w:t>
      </w:r>
      <w:r>
        <w:t>(8), 112–117.</w:t>
      </w:r>
    </w:p>
    <w:sectPr w:rsidR="00A07ECC">
      <w:headerReference w:type="default" r:id="rId17"/>
      <w:footerReference w:type="default" r:id="rId18"/>
      <w:pgSz w:w="11910" w:h="16840"/>
      <w:pgMar w:top="1180" w:right="660" w:bottom="880" w:left="680" w:header="903"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1614" w14:textId="77777777" w:rsidR="00A227C1" w:rsidRDefault="00A227C1">
      <w:r>
        <w:separator/>
      </w:r>
    </w:p>
  </w:endnote>
  <w:endnote w:type="continuationSeparator" w:id="0">
    <w:p w14:paraId="0EB3189D" w14:textId="77777777" w:rsidR="00A227C1" w:rsidRDefault="00A2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C8CB" w14:textId="77777777" w:rsidR="00A07ECC" w:rsidRDefault="00A227C1">
    <w:pPr>
      <w:pStyle w:val="BodyText"/>
      <w:spacing w:line="14" w:lineRule="auto"/>
      <w:rPr>
        <w:sz w:val="20"/>
      </w:rPr>
    </w:pPr>
    <w:r>
      <w:pict w14:anchorId="2D171B6F">
        <v:shapetype id="_x0000_t202" coordsize="21600,21600" o:spt="202" path="m,l,21600r21600,l21600,xe">
          <v:stroke joinstyle="miter"/>
          <v:path gradientshapeok="t" o:connecttype="rect"/>
        </v:shapetype>
        <v:shape id="_x0000_s2055" type="#_x0000_t202" alt="" style="position:absolute;margin-left:138.35pt;margin-top:796.1pt;width:310.75pt;height:11pt;z-index:-16749056;mso-wrap-style:square;mso-wrap-edited:f;mso-width-percent:0;mso-height-percent:0;mso-position-horizontal-relative:page;mso-position-vertical-relative:page;mso-width-percent:0;mso-height-percent:0;v-text-anchor:top" filled="f" stroked="f">
          <v:textbox inset="0,0,0,0">
            <w:txbxContent>
              <w:p w14:paraId="249EB18A" w14:textId="77777777" w:rsidR="00A07ECC" w:rsidRDefault="00BE4EBF">
                <w:pPr>
                  <w:spacing w:line="199" w:lineRule="exact"/>
                  <w:ind w:left="20"/>
                  <w:rPr>
                    <w:i/>
                    <w:sz w:val="18"/>
                  </w:rPr>
                </w:pPr>
                <w:r>
                  <w:rPr>
                    <w:i/>
                    <w:sz w:val="18"/>
                  </w:rPr>
                  <w:t>Indonesian</w:t>
                </w:r>
                <w:r>
                  <w:rPr>
                    <w:i/>
                    <w:spacing w:val="-4"/>
                    <w:sz w:val="18"/>
                  </w:rPr>
                  <w:t xml:space="preserve"> </w:t>
                </w:r>
                <w:r>
                  <w:rPr>
                    <w:i/>
                    <w:sz w:val="18"/>
                  </w:rPr>
                  <w:t>Journal</w:t>
                </w:r>
                <w:r>
                  <w:rPr>
                    <w:i/>
                    <w:spacing w:val="-4"/>
                    <w:sz w:val="18"/>
                  </w:rPr>
                  <w:t xml:space="preserve"> </w:t>
                </w:r>
                <w:r>
                  <w:rPr>
                    <w:i/>
                    <w:sz w:val="18"/>
                  </w:rPr>
                  <w:t>of</w:t>
                </w:r>
                <w:r>
                  <w:rPr>
                    <w:i/>
                    <w:spacing w:val="-2"/>
                    <w:sz w:val="18"/>
                  </w:rPr>
                  <w:t xml:space="preserve"> </w:t>
                </w:r>
                <w:r>
                  <w:rPr>
                    <w:i/>
                    <w:sz w:val="18"/>
                  </w:rPr>
                  <w:t>Sustainability</w:t>
                </w:r>
                <w:r>
                  <w:rPr>
                    <w:i/>
                    <w:spacing w:val="-3"/>
                    <w:sz w:val="18"/>
                  </w:rPr>
                  <w:t xml:space="preserve"> </w:t>
                </w:r>
                <w:r>
                  <w:rPr>
                    <w:i/>
                    <w:sz w:val="18"/>
                  </w:rPr>
                  <w:t>Accounting</w:t>
                </w:r>
                <w:r>
                  <w:rPr>
                    <w:i/>
                    <w:spacing w:val="-3"/>
                    <w:sz w:val="18"/>
                  </w:rPr>
                  <w:t xml:space="preserve"> </w:t>
                </w:r>
                <w:r>
                  <w:rPr>
                    <w:i/>
                    <w:sz w:val="18"/>
                  </w:rPr>
                  <w:t>and</w:t>
                </w:r>
                <w:r>
                  <w:rPr>
                    <w:i/>
                    <w:spacing w:val="-2"/>
                    <w:sz w:val="18"/>
                  </w:rPr>
                  <w:t xml:space="preserve"> </w:t>
                </w:r>
                <w:r>
                  <w:rPr>
                    <w:i/>
                    <w:sz w:val="18"/>
                  </w:rPr>
                  <w:t>Management, 2019,</w:t>
                </w:r>
                <w:r>
                  <w:rPr>
                    <w:i/>
                    <w:spacing w:val="-1"/>
                    <w:sz w:val="18"/>
                  </w:rPr>
                  <w:t xml:space="preserve"> </w:t>
                </w:r>
                <w:r>
                  <w:rPr>
                    <w:i/>
                    <w:sz w:val="18"/>
                  </w:rPr>
                  <w:t>3(1),</w:t>
                </w:r>
                <w:r>
                  <w:rPr>
                    <w:i/>
                    <w:spacing w:val="-3"/>
                    <w:sz w:val="18"/>
                  </w:rPr>
                  <w:t xml:space="preserve"> </w:t>
                </w:r>
                <w:r>
                  <w:rPr>
                    <w:i/>
                    <w:sz w:val="18"/>
                  </w:rPr>
                  <w:t>95–108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A2E3" w14:textId="77777777" w:rsidR="00A07ECC" w:rsidRDefault="00A227C1">
    <w:pPr>
      <w:pStyle w:val="BodyText"/>
      <w:spacing w:line="14" w:lineRule="auto"/>
      <w:rPr>
        <w:sz w:val="20"/>
      </w:rPr>
    </w:pPr>
    <w:r>
      <w:pict w14:anchorId="32CE885E">
        <v:shapetype id="_x0000_t202" coordsize="21600,21600" o:spt="202" path="m,l,21600r21600,l21600,xe">
          <v:stroke joinstyle="miter"/>
          <v:path gradientshapeok="t" o:connecttype="rect"/>
        </v:shapetype>
        <v:shape id="_x0000_s2052" type="#_x0000_t202" alt="" style="position:absolute;margin-left:146.25pt;margin-top:796.1pt;width:310.75pt;height:11pt;z-index:-16747520;mso-wrap-style:square;mso-wrap-edited:f;mso-width-percent:0;mso-height-percent:0;mso-position-horizontal-relative:page;mso-position-vertical-relative:page;mso-width-percent:0;mso-height-percent:0;v-text-anchor:top" filled="f" stroked="f">
          <v:textbox inset="0,0,0,0">
            <w:txbxContent>
              <w:p w14:paraId="0B4627E9" w14:textId="77777777" w:rsidR="00A07ECC" w:rsidRDefault="00BE4EBF">
                <w:pPr>
                  <w:spacing w:line="199" w:lineRule="exact"/>
                  <w:ind w:left="20"/>
                  <w:rPr>
                    <w:i/>
                    <w:sz w:val="18"/>
                  </w:rPr>
                </w:pPr>
                <w:r>
                  <w:rPr>
                    <w:i/>
                    <w:sz w:val="18"/>
                  </w:rPr>
                  <w:t>Indonesian</w:t>
                </w:r>
                <w:r>
                  <w:rPr>
                    <w:i/>
                    <w:spacing w:val="-4"/>
                    <w:sz w:val="18"/>
                  </w:rPr>
                  <w:t xml:space="preserve"> </w:t>
                </w:r>
                <w:r>
                  <w:rPr>
                    <w:i/>
                    <w:sz w:val="18"/>
                  </w:rPr>
                  <w:t>Journal</w:t>
                </w:r>
                <w:r>
                  <w:rPr>
                    <w:i/>
                    <w:spacing w:val="-4"/>
                    <w:sz w:val="18"/>
                  </w:rPr>
                  <w:t xml:space="preserve"> </w:t>
                </w:r>
                <w:r>
                  <w:rPr>
                    <w:i/>
                    <w:sz w:val="18"/>
                  </w:rPr>
                  <w:t>of</w:t>
                </w:r>
                <w:r>
                  <w:rPr>
                    <w:i/>
                    <w:spacing w:val="-2"/>
                    <w:sz w:val="18"/>
                  </w:rPr>
                  <w:t xml:space="preserve"> </w:t>
                </w:r>
                <w:r>
                  <w:rPr>
                    <w:i/>
                    <w:sz w:val="18"/>
                  </w:rPr>
                  <w:t>Sustainability</w:t>
                </w:r>
                <w:r>
                  <w:rPr>
                    <w:i/>
                    <w:spacing w:val="-3"/>
                    <w:sz w:val="18"/>
                  </w:rPr>
                  <w:t xml:space="preserve"> </w:t>
                </w:r>
                <w:r>
                  <w:rPr>
                    <w:i/>
                    <w:sz w:val="18"/>
                  </w:rPr>
                  <w:t>Accounting</w:t>
                </w:r>
                <w:r>
                  <w:rPr>
                    <w:i/>
                    <w:spacing w:val="-3"/>
                    <w:sz w:val="18"/>
                  </w:rPr>
                  <w:t xml:space="preserve"> </w:t>
                </w:r>
                <w:r>
                  <w:rPr>
                    <w:i/>
                    <w:sz w:val="18"/>
                  </w:rPr>
                  <w:t>and</w:t>
                </w:r>
                <w:r>
                  <w:rPr>
                    <w:i/>
                    <w:spacing w:val="-2"/>
                    <w:sz w:val="18"/>
                  </w:rPr>
                  <w:t xml:space="preserve"> </w:t>
                </w:r>
                <w:r>
                  <w:rPr>
                    <w:i/>
                    <w:sz w:val="18"/>
                  </w:rPr>
                  <w:t>Management, 2019,</w:t>
                </w:r>
                <w:r>
                  <w:rPr>
                    <w:i/>
                    <w:spacing w:val="-1"/>
                    <w:sz w:val="18"/>
                  </w:rPr>
                  <w:t xml:space="preserve"> </w:t>
                </w:r>
                <w:r>
                  <w:rPr>
                    <w:i/>
                    <w:sz w:val="18"/>
                  </w:rPr>
                  <w:t>3(1),</w:t>
                </w:r>
                <w:r>
                  <w:rPr>
                    <w:i/>
                    <w:spacing w:val="-3"/>
                    <w:sz w:val="18"/>
                  </w:rPr>
                  <w:t xml:space="preserve"> </w:t>
                </w:r>
                <w:r>
                  <w:rPr>
                    <w:i/>
                    <w:sz w:val="18"/>
                  </w:rPr>
                  <w:t>95–108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FC6" w14:textId="77777777" w:rsidR="00A07ECC" w:rsidRDefault="00A227C1">
    <w:pPr>
      <w:pStyle w:val="BodyText"/>
      <w:spacing w:line="14" w:lineRule="auto"/>
      <w:rPr>
        <w:sz w:val="20"/>
      </w:rPr>
    </w:pPr>
    <w:r>
      <w:pict w14:anchorId="5681EDD5">
        <v:shapetype id="_x0000_t202" coordsize="21600,21600" o:spt="202" path="m,l,21600r21600,l21600,xe">
          <v:stroke joinstyle="miter"/>
          <v:path gradientshapeok="t" o:connecttype="rect"/>
        </v:shapetype>
        <v:shape id="_x0000_s2049" type="#_x0000_t202" alt="" style="position:absolute;margin-left:138.35pt;margin-top:796.1pt;width:310.75pt;height:11pt;z-index:-16745984;mso-wrap-style:square;mso-wrap-edited:f;mso-width-percent:0;mso-height-percent:0;mso-position-horizontal-relative:page;mso-position-vertical-relative:page;mso-width-percent:0;mso-height-percent:0;v-text-anchor:top" filled="f" stroked="f">
          <v:textbox inset="0,0,0,0">
            <w:txbxContent>
              <w:p w14:paraId="020A76AF" w14:textId="77777777" w:rsidR="00A07ECC" w:rsidRDefault="00BE4EBF">
                <w:pPr>
                  <w:spacing w:line="199" w:lineRule="exact"/>
                  <w:ind w:left="20"/>
                  <w:rPr>
                    <w:i/>
                    <w:sz w:val="18"/>
                  </w:rPr>
                </w:pPr>
                <w:r>
                  <w:rPr>
                    <w:i/>
                    <w:sz w:val="18"/>
                  </w:rPr>
                  <w:t>Indonesian</w:t>
                </w:r>
                <w:r>
                  <w:rPr>
                    <w:i/>
                    <w:spacing w:val="-4"/>
                    <w:sz w:val="18"/>
                  </w:rPr>
                  <w:t xml:space="preserve"> </w:t>
                </w:r>
                <w:r>
                  <w:rPr>
                    <w:i/>
                    <w:sz w:val="18"/>
                  </w:rPr>
                  <w:t>Journal</w:t>
                </w:r>
                <w:r>
                  <w:rPr>
                    <w:i/>
                    <w:spacing w:val="-4"/>
                    <w:sz w:val="18"/>
                  </w:rPr>
                  <w:t xml:space="preserve"> </w:t>
                </w:r>
                <w:r>
                  <w:rPr>
                    <w:i/>
                    <w:sz w:val="18"/>
                  </w:rPr>
                  <w:t>of</w:t>
                </w:r>
                <w:r>
                  <w:rPr>
                    <w:i/>
                    <w:spacing w:val="-2"/>
                    <w:sz w:val="18"/>
                  </w:rPr>
                  <w:t xml:space="preserve"> </w:t>
                </w:r>
                <w:r>
                  <w:rPr>
                    <w:i/>
                    <w:sz w:val="18"/>
                  </w:rPr>
                  <w:t>Sustainability</w:t>
                </w:r>
                <w:r>
                  <w:rPr>
                    <w:i/>
                    <w:spacing w:val="-3"/>
                    <w:sz w:val="18"/>
                  </w:rPr>
                  <w:t xml:space="preserve"> </w:t>
                </w:r>
                <w:r>
                  <w:rPr>
                    <w:i/>
                    <w:sz w:val="18"/>
                  </w:rPr>
                  <w:t>Accounting</w:t>
                </w:r>
                <w:r>
                  <w:rPr>
                    <w:i/>
                    <w:spacing w:val="-3"/>
                    <w:sz w:val="18"/>
                  </w:rPr>
                  <w:t xml:space="preserve"> </w:t>
                </w:r>
                <w:r>
                  <w:rPr>
                    <w:i/>
                    <w:sz w:val="18"/>
                  </w:rPr>
                  <w:t>and</w:t>
                </w:r>
                <w:r>
                  <w:rPr>
                    <w:i/>
                    <w:spacing w:val="-2"/>
                    <w:sz w:val="18"/>
                  </w:rPr>
                  <w:t xml:space="preserve"> </w:t>
                </w:r>
                <w:r>
                  <w:rPr>
                    <w:i/>
                    <w:sz w:val="18"/>
                  </w:rPr>
                  <w:t>Management, 2019,</w:t>
                </w:r>
                <w:r>
                  <w:rPr>
                    <w:i/>
                    <w:spacing w:val="-1"/>
                    <w:sz w:val="18"/>
                  </w:rPr>
                  <w:t xml:space="preserve"> </w:t>
                </w:r>
                <w:r>
                  <w:rPr>
                    <w:i/>
                    <w:sz w:val="18"/>
                  </w:rPr>
                  <w:t>3(1),</w:t>
                </w:r>
                <w:r>
                  <w:rPr>
                    <w:i/>
                    <w:spacing w:val="-3"/>
                    <w:sz w:val="18"/>
                  </w:rPr>
                  <w:t xml:space="preserve"> </w:t>
                </w:r>
                <w:r>
                  <w:rPr>
                    <w:i/>
                    <w:sz w:val="18"/>
                  </w:rPr>
                  <w:t>95–108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BADE" w14:textId="77777777" w:rsidR="00A227C1" w:rsidRDefault="00A227C1">
      <w:r>
        <w:separator/>
      </w:r>
    </w:p>
  </w:footnote>
  <w:footnote w:type="continuationSeparator" w:id="0">
    <w:p w14:paraId="66ECF41D" w14:textId="77777777" w:rsidR="00A227C1" w:rsidRDefault="00A2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2E9E" w14:textId="7107349D" w:rsidR="00A07ECC" w:rsidRDefault="00A227C1">
    <w:pPr>
      <w:pStyle w:val="BodyText"/>
      <w:spacing w:line="14" w:lineRule="auto"/>
      <w:rPr>
        <w:sz w:val="20"/>
      </w:rPr>
    </w:pPr>
    <w:r>
      <w:pict w14:anchorId="279C2A7F">
        <v:shapetype id="_x0000_t202" coordsize="21600,21600" o:spt="202" path="m,l,21600r21600,l21600,xe">
          <v:stroke joinstyle="miter"/>
          <v:path gradientshapeok="t" o:connecttype="rect"/>
        </v:shapetype>
        <v:shape id="_x0000_s2057" type="#_x0000_t202" alt="" style="position:absolute;margin-left:74.75pt;margin-top:47.8pt;width:63.6pt;height:14.3pt;z-index:-16749568;mso-wrap-style:square;mso-wrap-edited:f;mso-width-percent:0;mso-height-percent:0;mso-position-horizontal-relative:page;mso-position-vertical-relative:page;mso-width-percent:0;mso-height-percent:0;v-text-anchor:top" filled="f" stroked="f">
          <v:textbox inset="0,0,0,0">
            <w:txbxContent>
              <w:p w14:paraId="70B86A5B" w14:textId="42481668" w:rsidR="00A07ECC" w:rsidRDefault="00BE27A5">
                <w:pPr>
                  <w:spacing w:line="199" w:lineRule="exact"/>
                  <w:ind w:left="20"/>
                  <w:rPr>
                    <w:i/>
                    <w:sz w:val="18"/>
                  </w:rPr>
                </w:pPr>
                <w:proofErr w:type="spellStart"/>
                <w:r>
                  <w:rPr>
                    <w:i/>
                    <w:sz w:val="18"/>
                    <w:u w:val="single"/>
                  </w:rPr>
                  <w:t>Pramukti</w:t>
                </w:r>
                <w:proofErr w:type="spellEnd"/>
                <w:r w:rsidR="00BE4EBF">
                  <w:rPr>
                    <w:i/>
                    <w:spacing w:val="-3"/>
                    <w:sz w:val="18"/>
                    <w:u w:val="single"/>
                  </w:rPr>
                  <w:t xml:space="preserve"> </w:t>
                </w:r>
                <w:r w:rsidR="00BE4EBF">
                  <w:rPr>
                    <w:i/>
                    <w:sz w:val="18"/>
                    <w:u w:val="single"/>
                  </w:rPr>
                  <w:t>et</w:t>
                </w:r>
                <w:r w:rsidR="00BE4EBF">
                  <w:rPr>
                    <w:i/>
                    <w:spacing w:val="-2"/>
                    <w:sz w:val="18"/>
                    <w:u w:val="single"/>
                  </w:rPr>
                  <w:t xml:space="preserve"> </w:t>
                </w:r>
                <w:r w:rsidR="00BE4EBF">
                  <w:rPr>
                    <w:i/>
                    <w:sz w:val="18"/>
                    <w:u w:val="single"/>
                  </w:rPr>
                  <w:t>al.</w:t>
                </w:r>
              </w:p>
            </w:txbxContent>
          </v:textbox>
          <w10:wrap anchorx="page" anchory="page"/>
        </v:shape>
      </w:pict>
    </w:r>
    <w:r>
      <w:pict w14:anchorId="699F841D">
        <v:shape id="_x0000_s2056" type="#_x0000_t202" alt="" style="position:absolute;margin-left:38.95pt;margin-top:44.15pt;width:22.4pt;height:16.05pt;z-index:-16750080;mso-wrap-style:square;mso-wrap-edited:f;mso-width-percent:0;mso-height-percent:0;mso-position-horizontal-relative:page;mso-position-vertical-relative:page;mso-width-percent:0;mso-height-percent:0;v-text-anchor:top" filled="f" stroked="f">
          <v:textbox inset="0,0,0,0">
            <w:txbxContent>
              <w:p w14:paraId="17244F09" w14:textId="633DC8CE" w:rsidR="00A07ECC" w:rsidRDefault="00A07ECC">
                <w:pPr>
                  <w:spacing w:line="299" w:lineRule="exact"/>
                  <w:ind w:left="20"/>
                  <w:rPr>
                    <w:sz w:val="28"/>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D60C" w14:textId="77777777" w:rsidR="00A07ECC" w:rsidRDefault="00A227C1">
    <w:pPr>
      <w:pStyle w:val="BodyText"/>
      <w:spacing w:line="14" w:lineRule="auto"/>
      <w:rPr>
        <w:sz w:val="20"/>
      </w:rPr>
    </w:pPr>
    <w:r>
      <w:pict w14:anchorId="6A844E3C">
        <v:shapetype id="_x0000_t202" coordsize="21600,21600" o:spt="202" path="m,l,21600r21600,l21600,xe">
          <v:stroke joinstyle="miter"/>
          <v:path gradientshapeok="t" o:connecttype="rect"/>
        </v:shapetype>
        <v:shape id="_x0000_s2054" type="#_x0000_t202" alt="" style="position:absolute;margin-left:534.65pt;margin-top:44.15pt;width:21.3pt;height:16.05pt;z-index:-16748544;mso-wrap-style:square;mso-wrap-edited:f;mso-width-percent:0;mso-height-percent:0;mso-position-horizontal-relative:page;mso-position-vertical-relative:page;mso-width-percent:0;mso-height-percent:0;v-text-anchor:top" filled="f" stroked="f">
          <v:textbox inset="0,0,0,0">
            <w:txbxContent>
              <w:p w14:paraId="674036AE" w14:textId="77777777" w:rsidR="00A07ECC" w:rsidRDefault="00BE4EBF">
                <w:pPr>
                  <w:spacing w:line="299" w:lineRule="exact"/>
                  <w:ind w:left="20"/>
                  <w:rPr>
                    <w:sz w:val="28"/>
                  </w:rPr>
                </w:pPr>
                <w:r>
                  <w:rPr>
                    <w:sz w:val="28"/>
                  </w:rPr>
                  <w:t>107</w:t>
                </w:r>
              </w:p>
            </w:txbxContent>
          </v:textbox>
          <w10:wrap anchorx="page" anchory="page"/>
        </v:shape>
      </w:pict>
    </w:r>
    <w:r>
      <w:pict w14:anchorId="70BA36A0">
        <v:shape id="_x0000_s2053" type="#_x0000_t202" alt="" style="position:absolute;margin-left:46.9pt;margin-top:47.8pt;width:410pt;height:11pt;z-index:-16748032;mso-wrap-style:square;mso-wrap-edited:f;mso-width-percent:0;mso-height-percent:0;mso-position-horizontal-relative:page;mso-position-vertical-relative:page;mso-width-percent:0;mso-height-percent:0;v-text-anchor:top" filled="f" stroked="f">
          <v:textbox inset="0,0,0,0">
            <w:txbxContent>
              <w:p w14:paraId="06ED9241" w14:textId="77777777" w:rsidR="00A07ECC" w:rsidRDefault="00BE4EBF">
                <w:pPr>
                  <w:spacing w:line="199" w:lineRule="exact"/>
                  <w:ind w:left="20"/>
                  <w:rPr>
                    <w:i/>
                    <w:sz w:val="18"/>
                  </w:rPr>
                </w:pPr>
                <w:r>
                  <w:rPr>
                    <w:i/>
                    <w:sz w:val="18"/>
                    <w:u w:val="single"/>
                  </w:rPr>
                  <w:t>A</w:t>
                </w:r>
                <w:r>
                  <w:rPr>
                    <w:i/>
                    <w:spacing w:val="-4"/>
                    <w:sz w:val="18"/>
                    <w:u w:val="single"/>
                  </w:rPr>
                  <w:t xml:space="preserve"> </w:t>
                </w:r>
                <w:r>
                  <w:rPr>
                    <w:i/>
                    <w:sz w:val="18"/>
                    <w:u w:val="single"/>
                  </w:rPr>
                  <w:t>Comparative</w:t>
                </w:r>
                <w:r>
                  <w:rPr>
                    <w:i/>
                    <w:spacing w:val="-3"/>
                    <w:sz w:val="18"/>
                    <w:u w:val="single"/>
                  </w:rPr>
                  <w:t xml:space="preserve"> </w:t>
                </w:r>
                <w:r>
                  <w:rPr>
                    <w:i/>
                    <w:sz w:val="18"/>
                    <w:u w:val="single"/>
                  </w:rPr>
                  <w:t>Study</w:t>
                </w:r>
                <w:r>
                  <w:rPr>
                    <w:i/>
                    <w:spacing w:val="-4"/>
                    <w:sz w:val="18"/>
                    <w:u w:val="single"/>
                  </w:rPr>
                  <w:t xml:space="preserve"> </w:t>
                </w:r>
                <w:r>
                  <w:rPr>
                    <w:i/>
                    <w:sz w:val="18"/>
                    <w:u w:val="single"/>
                  </w:rPr>
                  <w:t>on</w:t>
                </w:r>
                <w:r>
                  <w:rPr>
                    <w:i/>
                    <w:spacing w:val="-1"/>
                    <w:sz w:val="18"/>
                    <w:u w:val="single"/>
                  </w:rPr>
                  <w:t xml:space="preserve"> </w:t>
                </w:r>
                <w:r>
                  <w:rPr>
                    <w:i/>
                    <w:sz w:val="18"/>
                    <w:u w:val="single"/>
                  </w:rPr>
                  <w:t>Financial</w:t>
                </w:r>
                <w:r>
                  <w:rPr>
                    <w:i/>
                    <w:spacing w:val="-2"/>
                    <w:sz w:val="18"/>
                    <w:u w:val="single"/>
                  </w:rPr>
                  <w:t xml:space="preserve"> </w:t>
                </w:r>
                <w:r>
                  <w:rPr>
                    <w:i/>
                    <w:sz w:val="18"/>
                    <w:u w:val="single"/>
                  </w:rPr>
                  <w:t>Performance</w:t>
                </w:r>
                <w:r>
                  <w:rPr>
                    <w:i/>
                    <w:spacing w:val="-3"/>
                    <w:sz w:val="18"/>
                    <w:u w:val="single"/>
                  </w:rPr>
                  <w:t xml:space="preserve"> </w:t>
                </w:r>
                <w:r>
                  <w:rPr>
                    <w:i/>
                    <w:sz w:val="18"/>
                    <w:u w:val="single"/>
                  </w:rPr>
                  <w:t>of</w:t>
                </w:r>
                <w:r>
                  <w:rPr>
                    <w:i/>
                    <w:spacing w:val="-3"/>
                    <w:sz w:val="18"/>
                    <w:u w:val="single"/>
                  </w:rPr>
                  <w:t xml:space="preserve"> </w:t>
                </w:r>
                <w:r>
                  <w:rPr>
                    <w:i/>
                    <w:sz w:val="18"/>
                    <w:u w:val="single"/>
                  </w:rPr>
                  <w:t>the</w:t>
                </w:r>
                <w:r>
                  <w:rPr>
                    <w:i/>
                    <w:spacing w:val="-2"/>
                    <w:sz w:val="18"/>
                    <w:u w:val="single"/>
                  </w:rPr>
                  <w:t xml:space="preserve"> </w:t>
                </w:r>
                <w:r>
                  <w:rPr>
                    <w:i/>
                    <w:sz w:val="18"/>
                    <w:u w:val="single"/>
                  </w:rPr>
                  <w:t>Participants</w:t>
                </w:r>
                <w:r>
                  <w:rPr>
                    <w:i/>
                    <w:spacing w:val="-2"/>
                    <w:sz w:val="18"/>
                    <w:u w:val="single"/>
                  </w:rPr>
                  <w:t xml:space="preserve"> </w:t>
                </w:r>
                <w:r>
                  <w:rPr>
                    <w:i/>
                    <w:sz w:val="18"/>
                    <w:u w:val="single"/>
                  </w:rPr>
                  <w:t>in</w:t>
                </w:r>
                <w:r>
                  <w:rPr>
                    <w:i/>
                    <w:spacing w:val="-4"/>
                    <w:sz w:val="18"/>
                    <w:u w:val="single"/>
                  </w:rPr>
                  <w:t xml:space="preserve"> </w:t>
                </w:r>
                <w:r>
                  <w:rPr>
                    <w:i/>
                    <w:sz w:val="18"/>
                    <w:u w:val="single"/>
                  </w:rPr>
                  <w:t>Indonesia Sustainability</w:t>
                </w:r>
                <w:r>
                  <w:rPr>
                    <w:i/>
                    <w:spacing w:val="-3"/>
                    <w:sz w:val="18"/>
                    <w:u w:val="single"/>
                  </w:rPr>
                  <w:t xml:space="preserve"> </w:t>
                </w:r>
                <w:r>
                  <w:rPr>
                    <w:i/>
                    <w:sz w:val="18"/>
                    <w:u w:val="single"/>
                  </w:rPr>
                  <w:t>Reporting</w:t>
                </w:r>
                <w:r>
                  <w:rPr>
                    <w:i/>
                    <w:spacing w:val="1"/>
                    <w:sz w:val="18"/>
                    <w:u w:val="single"/>
                  </w:rPr>
                  <w:t xml:space="preserve"> </w:t>
                </w:r>
                <w:r>
                  <w:rPr>
                    <w:i/>
                    <w:sz w:val="18"/>
                    <w:u w:val="single"/>
                  </w:rPr>
                  <w:t>Awards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463D" w14:textId="77777777" w:rsidR="00A07ECC" w:rsidRDefault="00A227C1">
    <w:pPr>
      <w:pStyle w:val="BodyText"/>
      <w:spacing w:line="14" w:lineRule="auto"/>
      <w:rPr>
        <w:sz w:val="20"/>
      </w:rPr>
    </w:pPr>
    <w:r>
      <w:pict w14:anchorId="38525BE2">
        <v:shapetype id="_x0000_t202" coordsize="21600,21600" o:spt="202" path="m,l,21600r21600,l21600,xe">
          <v:stroke joinstyle="miter"/>
          <v:path gradientshapeok="t" o:connecttype="rect"/>
        </v:shapetype>
        <v:shape id="_x0000_s2051" type="#_x0000_t202" alt="" style="position:absolute;margin-left:38.95pt;margin-top:44.15pt;width:22.4pt;height:16.05pt;z-index:-16747008;mso-wrap-style:square;mso-wrap-edited:f;mso-width-percent:0;mso-height-percent:0;mso-position-horizontal-relative:page;mso-position-vertical-relative:page;mso-width-percent:0;mso-height-percent:0;v-text-anchor:top" filled="f" stroked="f">
          <v:textbox inset="0,0,0,0">
            <w:txbxContent>
              <w:p w14:paraId="49418C7D" w14:textId="77777777" w:rsidR="00A07ECC" w:rsidRDefault="00BE4EBF">
                <w:pPr>
                  <w:spacing w:line="299" w:lineRule="exact"/>
                  <w:ind w:left="20"/>
                  <w:rPr>
                    <w:sz w:val="28"/>
                  </w:rPr>
                </w:pPr>
                <w:r>
                  <w:rPr>
                    <w:sz w:val="28"/>
                  </w:rPr>
                  <w:t>108</w:t>
                </w:r>
              </w:p>
            </w:txbxContent>
          </v:textbox>
          <w10:wrap anchorx="page" anchory="page"/>
        </v:shape>
      </w:pict>
    </w:r>
    <w:r>
      <w:pict w14:anchorId="4A9BCFDB">
        <v:shape id="_x0000_s2050" type="#_x0000_t202" alt="" style="position:absolute;margin-left:75pt;margin-top:47.8pt;width:48.9pt;height:11pt;z-index:-16746496;mso-wrap-style:square;mso-wrap-edited:f;mso-width-percent:0;mso-height-percent:0;mso-position-horizontal-relative:page;mso-position-vertical-relative:page;mso-width-percent:0;mso-height-percent:0;v-text-anchor:top" filled="f" stroked="f">
          <v:textbox inset="0,0,0,0">
            <w:txbxContent>
              <w:p w14:paraId="00FF4741" w14:textId="77777777" w:rsidR="00A07ECC" w:rsidRDefault="00BE4EBF">
                <w:pPr>
                  <w:spacing w:line="199" w:lineRule="exact"/>
                  <w:ind w:left="20"/>
                  <w:rPr>
                    <w:i/>
                    <w:sz w:val="18"/>
                  </w:rPr>
                </w:pPr>
                <w:proofErr w:type="spellStart"/>
                <w:r>
                  <w:rPr>
                    <w:i/>
                    <w:sz w:val="18"/>
                    <w:u w:val="single"/>
                  </w:rPr>
                  <w:t>Semuel</w:t>
                </w:r>
                <w:proofErr w:type="spellEnd"/>
                <w:r>
                  <w:rPr>
                    <w:i/>
                    <w:spacing w:val="-3"/>
                    <w:sz w:val="18"/>
                    <w:u w:val="single"/>
                  </w:rPr>
                  <w:t xml:space="preserve"> </w:t>
                </w:r>
                <w:r>
                  <w:rPr>
                    <w:i/>
                    <w:sz w:val="18"/>
                    <w:u w:val="single"/>
                  </w:rPr>
                  <w:t>et</w:t>
                </w:r>
                <w:r>
                  <w:rPr>
                    <w:i/>
                    <w:spacing w:val="-2"/>
                    <w:sz w:val="18"/>
                    <w:u w:val="single"/>
                  </w:rPr>
                  <w:t xml:space="preserve"> </w:t>
                </w:r>
                <w:r>
                  <w:rPr>
                    <w:i/>
                    <w:sz w:val="18"/>
                    <w:u w:val="single"/>
                  </w:rPr>
                  <w:t>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F184C"/>
    <w:multiLevelType w:val="hybridMultilevel"/>
    <w:tmpl w:val="A0462498"/>
    <w:lvl w:ilvl="0" w:tplc="04090015">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5A3245"/>
    <w:multiLevelType w:val="hybridMultilevel"/>
    <w:tmpl w:val="7F30C3C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52A37"/>
    <w:multiLevelType w:val="hybridMultilevel"/>
    <w:tmpl w:val="DF7C362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7ECC"/>
    <w:rsid w:val="00004CB1"/>
    <w:rsid w:val="00023CA8"/>
    <w:rsid w:val="00024F6A"/>
    <w:rsid w:val="00036B48"/>
    <w:rsid w:val="000A7B9C"/>
    <w:rsid w:val="000C0172"/>
    <w:rsid w:val="000F6B31"/>
    <w:rsid w:val="001358D0"/>
    <w:rsid w:val="001361AE"/>
    <w:rsid w:val="00140E82"/>
    <w:rsid w:val="001434D9"/>
    <w:rsid w:val="00154BE5"/>
    <w:rsid w:val="0018460B"/>
    <w:rsid w:val="001A34BE"/>
    <w:rsid w:val="001C3967"/>
    <w:rsid w:val="001C6D98"/>
    <w:rsid w:val="001D25E6"/>
    <w:rsid w:val="00254CCC"/>
    <w:rsid w:val="00273C1F"/>
    <w:rsid w:val="00281E75"/>
    <w:rsid w:val="003045AB"/>
    <w:rsid w:val="003A08D7"/>
    <w:rsid w:val="003D1417"/>
    <w:rsid w:val="003E6E83"/>
    <w:rsid w:val="003F136A"/>
    <w:rsid w:val="003F49EF"/>
    <w:rsid w:val="003F7B87"/>
    <w:rsid w:val="00416F39"/>
    <w:rsid w:val="00424D83"/>
    <w:rsid w:val="0044037C"/>
    <w:rsid w:val="00452ABF"/>
    <w:rsid w:val="004B0911"/>
    <w:rsid w:val="004D4D61"/>
    <w:rsid w:val="004E2CBE"/>
    <w:rsid w:val="004F01DD"/>
    <w:rsid w:val="00527FA9"/>
    <w:rsid w:val="00553CFB"/>
    <w:rsid w:val="005545FE"/>
    <w:rsid w:val="00585EA3"/>
    <w:rsid w:val="00590286"/>
    <w:rsid w:val="00590443"/>
    <w:rsid w:val="005B2AE6"/>
    <w:rsid w:val="005B5A53"/>
    <w:rsid w:val="005C3D4E"/>
    <w:rsid w:val="005D552D"/>
    <w:rsid w:val="005E4E9B"/>
    <w:rsid w:val="005F1A32"/>
    <w:rsid w:val="005F72DF"/>
    <w:rsid w:val="00613C23"/>
    <w:rsid w:val="00613C3E"/>
    <w:rsid w:val="0062483C"/>
    <w:rsid w:val="006B0AB8"/>
    <w:rsid w:val="006E0B04"/>
    <w:rsid w:val="00702151"/>
    <w:rsid w:val="00724980"/>
    <w:rsid w:val="00752E18"/>
    <w:rsid w:val="00795E25"/>
    <w:rsid w:val="007A1943"/>
    <w:rsid w:val="007B5DBB"/>
    <w:rsid w:val="007E5B29"/>
    <w:rsid w:val="008074CF"/>
    <w:rsid w:val="00807DF0"/>
    <w:rsid w:val="008474F1"/>
    <w:rsid w:val="00867F3D"/>
    <w:rsid w:val="008842C3"/>
    <w:rsid w:val="008A25A0"/>
    <w:rsid w:val="008A5FCA"/>
    <w:rsid w:val="00912C9F"/>
    <w:rsid w:val="00962C9A"/>
    <w:rsid w:val="00963BE2"/>
    <w:rsid w:val="009664A8"/>
    <w:rsid w:val="00986687"/>
    <w:rsid w:val="009A02B8"/>
    <w:rsid w:val="009D5757"/>
    <w:rsid w:val="009F2A97"/>
    <w:rsid w:val="00A077D8"/>
    <w:rsid w:val="00A07ECC"/>
    <w:rsid w:val="00A227C1"/>
    <w:rsid w:val="00A45F1A"/>
    <w:rsid w:val="00A570AB"/>
    <w:rsid w:val="00A700E4"/>
    <w:rsid w:val="00AA144E"/>
    <w:rsid w:val="00AB5E21"/>
    <w:rsid w:val="00AC64D9"/>
    <w:rsid w:val="00AE14FF"/>
    <w:rsid w:val="00BA07C8"/>
    <w:rsid w:val="00BC730B"/>
    <w:rsid w:val="00BD7BA0"/>
    <w:rsid w:val="00BE2028"/>
    <w:rsid w:val="00BE27A5"/>
    <w:rsid w:val="00BE4EBF"/>
    <w:rsid w:val="00BE738F"/>
    <w:rsid w:val="00C100C1"/>
    <w:rsid w:val="00C167A2"/>
    <w:rsid w:val="00C21210"/>
    <w:rsid w:val="00C547DC"/>
    <w:rsid w:val="00C5613A"/>
    <w:rsid w:val="00C75CF1"/>
    <w:rsid w:val="00C805E5"/>
    <w:rsid w:val="00C8484B"/>
    <w:rsid w:val="00C858D4"/>
    <w:rsid w:val="00CA3C4C"/>
    <w:rsid w:val="00CB0F0E"/>
    <w:rsid w:val="00CF4FDF"/>
    <w:rsid w:val="00D02C4F"/>
    <w:rsid w:val="00D033C5"/>
    <w:rsid w:val="00D3203D"/>
    <w:rsid w:val="00D54631"/>
    <w:rsid w:val="00D6309F"/>
    <w:rsid w:val="00DA487C"/>
    <w:rsid w:val="00DB468F"/>
    <w:rsid w:val="00DE758F"/>
    <w:rsid w:val="00DF4E76"/>
    <w:rsid w:val="00E25DAB"/>
    <w:rsid w:val="00E45F32"/>
    <w:rsid w:val="00E479CE"/>
    <w:rsid w:val="00E54B46"/>
    <w:rsid w:val="00E63D8D"/>
    <w:rsid w:val="00E677A6"/>
    <w:rsid w:val="00E71AAF"/>
    <w:rsid w:val="00E868C2"/>
    <w:rsid w:val="00EA2446"/>
    <w:rsid w:val="00EC7D22"/>
    <w:rsid w:val="00EE37C5"/>
    <w:rsid w:val="00F137A1"/>
    <w:rsid w:val="00F22706"/>
    <w:rsid w:val="00F3129D"/>
    <w:rsid w:val="00F335BA"/>
    <w:rsid w:val="00F52709"/>
    <w:rsid w:val="00F5689B"/>
    <w:rsid w:val="00F65154"/>
    <w:rsid w:val="00F96083"/>
    <w:rsid w:val="00FE7476"/>
    <w:rsid w:val="00FF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0C91B47"/>
  <w15:docId w15:val="{BE7E0811-4274-42FC-BDCF-DEAD63D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ind w:left="2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21" w:lineRule="exact"/>
    </w:pPr>
  </w:style>
  <w:style w:type="paragraph" w:styleId="Header">
    <w:name w:val="header"/>
    <w:basedOn w:val="Normal"/>
    <w:link w:val="HeaderChar"/>
    <w:uiPriority w:val="99"/>
    <w:unhideWhenUsed/>
    <w:rsid w:val="00795E25"/>
    <w:pPr>
      <w:tabs>
        <w:tab w:val="center" w:pos="4680"/>
        <w:tab w:val="right" w:pos="9360"/>
      </w:tabs>
    </w:pPr>
  </w:style>
  <w:style w:type="character" w:customStyle="1" w:styleId="HeaderChar">
    <w:name w:val="Header Char"/>
    <w:basedOn w:val="DefaultParagraphFont"/>
    <w:link w:val="Header"/>
    <w:uiPriority w:val="99"/>
    <w:rsid w:val="00795E25"/>
    <w:rPr>
      <w:rFonts w:ascii="Candara" w:eastAsia="Candara" w:hAnsi="Candara" w:cs="Candara"/>
    </w:rPr>
  </w:style>
  <w:style w:type="paragraph" w:styleId="Footer">
    <w:name w:val="footer"/>
    <w:basedOn w:val="Normal"/>
    <w:link w:val="FooterChar"/>
    <w:uiPriority w:val="99"/>
    <w:unhideWhenUsed/>
    <w:rsid w:val="00795E25"/>
    <w:pPr>
      <w:tabs>
        <w:tab w:val="center" w:pos="4680"/>
        <w:tab w:val="right" w:pos="9360"/>
      </w:tabs>
    </w:pPr>
  </w:style>
  <w:style w:type="character" w:customStyle="1" w:styleId="FooterChar">
    <w:name w:val="Footer Char"/>
    <w:basedOn w:val="DefaultParagraphFont"/>
    <w:link w:val="Footer"/>
    <w:uiPriority w:val="99"/>
    <w:rsid w:val="00795E25"/>
    <w:rPr>
      <w:rFonts w:ascii="Candara" w:eastAsia="Candara" w:hAnsi="Candara" w:cs="Candara"/>
    </w:rPr>
  </w:style>
  <w:style w:type="table" w:styleId="TableGrid">
    <w:name w:val="Table Grid"/>
    <w:basedOn w:val="TableNormal"/>
    <w:uiPriority w:val="39"/>
    <w:rsid w:val="0091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5689B"/>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unpas.id/index.php/ijsam"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lsyehat@petr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csr-id.org/2019/02/12/sustainability-reporting-awards-sr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F1D8F-4534-4E97-B40C-4243A1B1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10</Pages>
  <Words>15008</Words>
  <Characters>85549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Elapsed time on arrival: a simple and versatile primitive for canonical time synchronisation services</vt:lpstr>
    </vt:vector>
  </TitlesOfParts>
  <Company/>
  <LinksUpToDate>false</LinksUpToDate>
  <CharactersWithSpaces>100357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Elapsed time on arrival: a simple and versatile primitive for canonical time synchronisation services</dc:title>
  <dc:creator>IJSAM</dc:creator>
  <cp:lastModifiedBy>andikapramukti</cp:lastModifiedBy>
  <cp:revision>41</cp:revision>
  <dcterms:created xsi:type="dcterms:W3CDTF">2021-08-15T06:52:00Z</dcterms:created>
  <dcterms:modified xsi:type="dcterms:W3CDTF">2021-09-01T08:37:00Z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2013</vt:lpwstr>
  </property>
  <property fmtid="{D5CDD505-2E9C-101B-9397-08002B2CF9AE}" pid="4" name="LastSaved">
    <vt:filetime>2021-08-15T00:00:00Z</vt:filetime>
  </property>
  <property fmtid="{D5CDD505-2E9C-101B-9397-08002B2CF9AE}" pid="5" name="Mendeley Document_1">
    <vt:lpwstr>True</vt:lpwstr>
  </property>
  <property fmtid="{D5CDD505-2E9C-101B-9397-08002B2CF9AE}" pid="6" name="Mendeley Unique User Id_1">
    <vt:lpwstr>6b09b251-bc7b-3631-9981-63ddaf249c56</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