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C11" w:rsidRPr="00723AE8" w:rsidRDefault="00863C11" w:rsidP="00863C11">
      <w:pPr>
        <w:spacing w:after="0" w:line="240" w:lineRule="auto"/>
        <w:jc w:val="both"/>
        <w:rPr>
          <w:rFonts w:ascii="Book Antiqua" w:eastAsia="Calibri" w:hAnsi="Book Antiqua" w:cs="Times New Roman"/>
          <w:b/>
          <w:color w:val="000000"/>
          <w:sz w:val="28"/>
          <w:szCs w:val="28"/>
          <w:lang w:val="en-US"/>
        </w:rPr>
      </w:pPr>
      <w:bookmarkStart w:id="0" w:name="_GoBack"/>
      <w:bookmarkEnd w:id="0"/>
      <w:r w:rsidRPr="00723AE8">
        <w:rPr>
          <w:rFonts w:ascii="Book Antiqua" w:eastAsia="Calibri" w:hAnsi="Book Antiqua" w:cs="Times New Roman"/>
          <w:b/>
          <w:color w:val="000000"/>
          <w:sz w:val="28"/>
          <w:szCs w:val="28"/>
          <w:lang w:val="en-US"/>
        </w:rPr>
        <w:t>Data Envelopment Analysis fo</w:t>
      </w:r>
      <w:r w:rsidR="009A0D9D">
        <w:rPr>
          <w:rFonts w:ascii="Book Antiqua" w:eastAsia="Calibri" w:hAnsi="Book Antiqua" w:cs="Times New Roman"/>
          <w:b/>
          <w:color w:val="000000"/>
          <w:sz w:val="28"/>
          <w:szCs w:val="28"/>
          <w:lang w:val="en-US"/>
        </w:rPr>
        <w:t xml:space="preserve">r Profitability and Marketing </w:t>
      </w:r>
      <w:r w:rsidR="009A0D9D">
        <w:rPr>
          <w:rFonts w:ascii="Book Antiqua" w:eastAsia="Calibri" w:hAnsi="Book Antiqua" w:cs="Times New Roman"/>
          <w:b/>
          <w:color w:val="000000"/>
          <w:sz w:val="28"/>
          <w:szCs w:val="28"/>
        </w:rPr>
        <w:t>in</w:t>
      </w:r>
      <w:r w:rsidRPr="00723AE8">
        <w:rPr>
          <w:rFonts w:ascii="Book Antiqua" w:eastAsia="Calibri" w:hAnsi="Book Antiqua" w:cs="Times New Roman"/>
          <w:b/>
          <w:color w:val="000000"/>
          <w:sz w:val="28"/>
          <w:szCs w:val="28"/>
          <w:lang w:val="en-US"/>
        </w:rPr>
        <w:t xml:space="preserve"> the 10 Largest Banks in Indonesia</w:t>
      </w:r>
    </w:p>
    <w:p w:rsidR="00863C11" w:rsidRDefault="00863C11" w:rsidP="00863C11">
      <w:pPr>
        <w:spacing w:after="0" w:line="240" w:lineRule="auto"/>
        <w:jc w:val="both"/>
        <w:rPr>
          <w:rFonts w:ascii="Book Antiqua" w:eastAsia="Calibri" w:hAnsi="Book Antiqua" w:cs="Times New Roman"/>
          <w:b/>
          <w:i/>
          <w:sz w:val="20"/>
          <w:szCs w:val="20"/>
          <w:lang w:val="en-US"/>
        </w:rPr>
      </w:pPr>
    </w:p>
    <w:p w:rsidR="00723AE8" w:rsidRDefault="00723AE8" w:rsidP="00863C11">
      <w:pPr>
        <w:spacing w:after="0" w:line="240" w:lineRule="auto"/>
        <w:jc w:val="both"/>
        <w:rPr>
          <w:rFonts w:ascii="Book Antiqua" w:eastAsia="Calibri" w:hAnsi="Book Antiqua" w:cs="Times New Roman"/>
          <w:b/>
          <w:i/>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8"/>
        <w:gridCol w:w="6066"/>
      </w:tblGrid>
      <w:tr w:rsidR="00723AE8" w:rsidTr="008F7159">
        <w:tc>
          <w:tcPr>
            <w:tcW w:w="3192" w:type="dxa"/>
          </w:tcPr>
          <w:p w:rsidR="00723AE8" w:rsidRPr="00BE6FF9" w:rsidRDefault="00723AE8" w:rsidP="00863C11">
            <w:pPr>
              <w:jc w:val="both"/>
              <w:rPr>
                <w:rFonts w:ascii="Book Antiqua" w:hAnsi="Book Antiqua"/>
                <w:i/>
                <w:sz w:val="22"/>
                <w:szCs w:val="22"/>
                <w:lang w:val="en-US"/>
              </w:rPr>
            </w:pPr>
            <w:r w:rsidRPr="00BE6FF9">
              <w:rPr>
                <w:rFonts w:ascii="Book Antiqua" w:hAnsi="Book Antiqua"/>
                <w:i/>
                <w:sz w:val="22"/>
                <w:szCs w:val="22"/>
                <w:lang w:val="en-US"/>
              </w:rPr>
              <w:t>ARTICLE INFO</w:t>
            </w:r>
          </w:p>
        </w:tc>
        <w:tc>
          <w:tcPr>
            <w:tcW w:w="318" w:type="dxa"/>
          </w:tcPr>
          <w:p w:rsidR="00723AE8" w:rsidRPr="00BE6FF9" w:rsidRDefault="00723AE8" w:rsidP="00863C11">
            <w:pPr>
              <w:jc w:val="both"/>
              <w:rPr>
                <w:rFonts w:ascii="Book Antiqua" w:hAnsi="Book Antiqua"/>
                <w:i/>
                <w:sz w:val="22"/>
                <w:szCs w:val="22"/>
                <w:lang w:val="en-US"/>
              </w:rPr>
            </w:pPr>
          </w:p>
        </w:tc>
        <w:tc>
          <w:tcPr>
            <w:tcW w:w="6066" w:type="dxa"/>
          </w:tcPr>
          <w:p w:rsidR="00723AE8" w:rsidRPr="00BE6FF9" w:rsidRDefault="00723AE8" w:rsidP="00863C11">
            <w:pPr>
              <w:jc w:val="both"/>
              <w:rPr>
                <w:rFonts w:ascii="Book Antiqua" w:hAnsi="Book Antiqua"/>
                <w:i/>
                <w:sz w:val="22"/>
                <w:szCs w:val="22"/>
                <w:lang w:val="en-US"/>
              </w:rPr>
            </w:pPr>
            <w:r w:rsidRPr="00BE6FF9">
              <w:rPr>
                <w:rFonts w:ascii="Book Antiqua" w:hAnsi="Book Antiqua"/>
                <w:i/>
                <w:sz w:val="22"/>
                <w:szCs w:val="22"/>
                <w:lang w:val="en-US"/>
              </w:rPr>
              <w:t>ABSTRACT</w:t>
            </w:r>
          </w:p>
        </w:tc>
      </w:tr>
      <w:tr w:rsidR="008F7159" w:rsidTr="008F7159">
        <w:tc>
          <w:tcPr>
            <w:tcW w:w="3192" w:type="dxa"/>
            <w:vMerge w:val="restart"/>
          </w:tcPr>
          <w:p w:rsidR="008F7159" w:rsidRPr="008F7159" w:rsidRDefault="008F7159" w:rsidP="008F7159">
            <w:pPr>
              <w:jc w:val="both"/>
              <w:rPr>
                <w:rFonts w:ascii="Book Antiqua" w:hAnsi="Book Antiqua"/>
                <w:b/>
                <w:i/>
                <w:lang w:val="en-US"/>
              </w:rPr>
            </w:pPr>
            <w:r w:rsidRPr="008F7159">
              <w:rPr>
                <w:rFonts w:ascii="Book Antiqua" w:hAnsi="Book Antiqua"/>
                <w:b/>
                <w:i/>
                <w:lang w:val="en-US"/>
              </w:rPr>
              <w:t>Article history:</w:t>
            </w:r>
          </w:p>
          <w:p w:rsidR="008F7159" w:rsidRPr="008F7159" w:rsidRDefault="008F7159" w:rsidP="008F7159">
            <w:pPr>
              <w:jc w:val="both"/>
              <w:rPr>
                <w:rFonts w:ascii="Book Antiqua" w:hAnsi="Book Antiqua"/>
                <w:b/>
                <w:i/>
                <w:lang w:val="en-US"/>
              </w:rPr>
            </w:pPr>
            <w:r w:rsidRPr="008F7159">
              <w:rPr>
                <w:rFonts w:ascii="Book Antiqua" w:hAnsi="Book Antiqua"/>
                <w:b/>
                <w:i/>
                <w:lang w:val="en-US"/>
              </w:rPr>
              <w:t xml:space="preserve">Received </w:t>
            </w:r>
          </w:p>
          <w:p w:rsidR="008F7159" w:rsidRPr="008F7159" w:rsidRDefault="008F7159" w:rsidP="008F7159">
            <w:pPr>
              <w:jc w:val="both"/>
              <w:rPr>
                <w:rFonts w:ascii="Book Antiqua" w:hAnsi="Book Antiqua"/>
                <w:b/>
                <w:i/>
                <w:lang w:val="en-US"/>
              </w:rPr>
            </w:pPr>
            <w:r w:rsidRPr="008F7159">
              <w:rPr>
                <w:rFonts w:ascii="Book Antiqua" w:hAnsi="Book Antiqua"/>
                <w:b/>
                <w:i/>
                <w:lang w:val="en-US"/>
              </w:rPr>
              <w:t xml:space="preserve">Revised </w:t>
            </w:r>
          </w:p>
          <w:p w:rsidR="008F7159" w:rsidRPr="008F7159" w:rsidRDefault="008F7159" w:rsidP="008F7159">
            <w:pPr>
              <w:jc w:val="both"/>
              <w:rPr>
                <w:rFonts w:ascii="Book Antiqua" w:hAnsi="Book Antiqua"/>
                <w:b/>
                <w:i/>
                <w:lang w:val="en-US"/>
              </w:rPr>
            </w:pPr>
            <w:r w:rsidRPr="008F7159">
              <w:rPr>
                <w:rFonts w:ascii="Book Antiqua" w:hAnsi="Book Antiqua"/>
                <w:b/>
                <w:i/>
                <w:lang w:val="en-US"/>
              </w:rPr>
              <w:t xml:space="preserve">Accepted </w:t>
            </w:r>
          </w:p>
          <w:p w:rsidR="008F7159" w:rsidRPr="008F7159" w:rsidRDefault="008F7159" w:rsidP="008F7159">
            <w:pPr>
              <w:jc w:val="both"/>
              <w:rPr>
                <w:rFonts w:ascii="Book Antiqua" w:hAnsi="Book Antiqua"/>
                <w:b/>
                <w:i/>
                <w:lang w:val="en-US"/>
              </w:rPr>
            </w:pPr>
          </w:p>
          <w:p w:rsidR="008F7159" w:rsidRPr="008F7159" w:rsidRDefault="008F7159" w:rsidP="008F7159">
            <w:pPr>
              <w:jc w:val="both"/>
              <w:rPr>
                <w:rFonts w:ascii="Book Antiqua" w:hAnsi="Book Antiqua"/>
                <w:b/>
                <w:i/>
                <w:lang w:val="en-US"/>
              </w:rPr>
            </w:pPr>
            <w:r w:rsidRPr="008F7159">
              <w:rPr>
                <w:rFonts w:ascii="Book Antiqua" w:hAnsi="Book Antiqua"/>
                <w:b/>
                <w:i/>
                <w:lang w:val="en-US"/>
              </w:rPr>
              <w:t>JEL Classification:</w:t>
            </w:r>
          </w:p>
          <w:p w:rsidR="008F7159" w:rsidRPr="008F7159" w:rsidRDefault="008F7159" w:rsidP="008F7159">
            <w:pPr>
              <w:jc w:val="both"/>
              <w:rPr>
                <w:rFonts w:ascii="Book Antiqua" w:hAnsi="Book Antiqua"/>
                <w:b/>
                <w:i/>
                <w:lang w:val="en-US"/>
              </w:rPr>
            </w:pPr>
          </w:p>
          <w:p w:rsidR="008F7159" w:rsidRPr="008F7159" w:rsidRDefault="008F7159" w:rsidP="008F7159">
            <w:pPr>
              <w:jc w:val="both"/>
              <w:rPr>
                <w:rFonts w:ascii="Book Antiqua" w:hAnsi="Book Antiqua"/>
                <w:b/>
                <w:i/>
                <w:lang w:val="en-US"/>
              </w:rPr>
            </w:pPr>
          </w:p>
          <w:p w:rsidR="008F7159" w:rsidRPr="008F7159" w:rsidRDefault="008F7159" w:rsidP="008F7159">
            <w:pPr>
              <w:jc w:val="both"/>
              <w:rPr>
                <w:rFonts w:ascii="Book Antiqua" w:hAnsi="Book Antiqua"/>
                <w:b/>
                <w:i/>
                <w:lang w:val="en-US"/>
              </w:rPr>
            </w:pPr>
            <w:r w:rsidRPr="008F7159">
              <w:rPr>
                <w:rFonts w:ascii="Book Antiqua" w:hAnsi="Book Antiqua"/>
                <w:b/>
                <w:i/>
                <w:lang w:val="en-US"/>
              </w:rPr>
              <w:t>Key words:</w:t>
            </w:r>
          </w:p>
          <w:p w:rsidR="008F7159" w:rsidRPr="008F7159" w:rsidRDefault="008F7159" w:rsidP="008F7159">
            <w:pPr>
              <w:jc w:val="both"/>
              <w:rPr>
                <w:rFonts w:ascii="Book Antiqua" w:hAnsi="Book Antiqua"/>
                <w:b/>
                <w:i/>
                <w:lang w:val="en-US"/>
              </w:rPr>
            </w:pPr>
            <w:r>
              <w:rPr>
                <w:rFonts w:ascii="Book Antiqua" w:hAnsi="Book Antiqua"/>
                <w:b/>
                <w:i/>
                <w:lang w:val="en-US"/>
              </w:rPr>
              <w:t>p</w:t>
            </w:r>
            <w:r w:rsidRPr="008F7159">
              <w:rPr>
                <w:rFonts w:ascii="Book Antiqua" w:hAnsi="Book Antiqua"/>
                <w:b/>
                <w:i/>
                <w:lang w:val="en-US"/>
              </w:rPr>
              <w:t>rofitability, marketing, data envelopment analysis</w:t>
            </w:r>
          </w:p>
          <w:p w:rsidR="008F7159" w:rsidRDefault="008F7159" w:rsidP="008F7159">
            <w:pPr>
              <w:jc w:val="both"/>
              <w:rPr>
                <w:rFonts w:ascii="Book Antiqua" w:hAnsi="Book Antiqua"/>
                <w:b/>
                <w:i/>
                <w:lang w:val="en-US"/>
              </w:rPr>
            </w:pPr>
          </w:p>
          <w:p w:rsidR="008F7159" w:rsidRDefault="008F7159" w:rsidP="008F7159">
            <w:pPr>
              <w:jc w:val="both"/>
              <w:rPr>
                <w:rFonts w:ascii="Book Antiqua" w:hAnsi="Book Antiqua"/>
                <w:b/>
                <w:i/>
                <w:lang w:val="en-US"/>
              </w:rPr>
            </w:pPr>
          </w:p>
          <w:p w:rsidR="008F7159" w:rsidRPr="008F7159" w:rsidRDefault="008F7159" w:rsidP="008F7159">
            <w:pPr>
              <w:jc w:val="both"/>
              <w:rPr>
                <w:rFonts w:ascii="Book Antiqua" w:hAnsi="Book Antiqua"/>
                <w:b/>
                <w:i/>
                <w:lang w:val="en-US"/>
              </w:rPr>
            </w:pPr>
            <w:r w:rsidRPr="008F7159">
              <w:rPr>
                <w:rFonts w:ascii="Book Antiqua" w:hAnsi="Book Antiqua"/>
                <w:b/>
                <w:i/>
                <w:lang w:val="en-US"/>
              </w:rPr>
              <w:t>DOI:</w:t>
            </w:r>
          </w:p>
          <w:p w:rsidR="008F7159" w:rsidRDefault="008F7159" w:rsidP="008F7159">
            <w:pPr>
              <w:jc w:val="both"/>
              <w:rPr>
                <w:rFonts w:ascii="Book Antiqua" w:hAnsi="Book Antiqua"/>
                <w:b/>
                <w:i/>
                <w:lang w:val="en-US"/>
              </w:rPr>
            </w:pPr>
            <w:r w:rsidRPr="008F7159">
              <w:rPr>
                <w:rFonts w:ascii="Book Antiqua" w:hAnsi="Book Antiqua"/>
                <w:b/>
                <w:i/>
                <w:lang w:val="en-US"/>
              </w:rPr>
              <w:t>10.14414/jebav.</w:t>
            </w:r>
          </w:p>
        </w:tc>
        <w:tc>
          <w:tcPr>
            <w:tcW w:w="318" w:type="dxa"/>
          </w:tcPr>
          <w:p w:rsidR="008F7159" w:rsidRDefault="008F7159" w:rsidP="00863C11">
            <w:pPr>
              <w:jc w:val="both"/>
              <w:rPr>
                <w:rFonts w:ascii="Book Antiqua" w:hAnsi="Book Antiqua"/>
                <w:b/>
                <w:i/>
                <w:lang w:val="en-US"/>
              </w:rPr>
            </w:pPr>
          </w:p>
        </w:tc>
        <w:tc>
          <w:tcPr>
            <w:tcW w:w="6066" w:type="dxa"/>
          </w:tcPr>
          <w:p w:rsidR="008F7159" w:rsidRDefault="0085738A" w:rsidP="0085738A">
            <w:pPr>
              <w:jc w:val="both"/>
              <w:rPr>
                <w:rFonts w:ascii="Book Antiqua" w:hAnsi="Book Antiqua"/>
                <w:i/>
              </w:rPr>
            </w:pPr>
            <w:r w:rsidRPr="00BE6FF9">
              <w:rPr>
                <w:rFonts w:ascii="Book Antiqua" w:hAnsi="Book Antiqua"/>
                <w:i/>
                <w:lang w:val="en-US"/>
              </w:rPr>
              <w:t>Increasingly tight competition in the banking world has pushed banking companies to increase efficiency</w:t>
            </w:r>
            <w:r w:rsidRPr="00BE6FF9">
              <w:rPr>
                <w:rFonts w:ascii="Book Antiqua" w:hAnsi="Book Antiqua"/>
                <w:i/>
              </w:rPr>
              <w:t xml:space="preserve"> </w:t>
            </w:r>
            <w:r w:rsidR="008F7159" w:rsidRPr="00BE6FF9">
              <w:rPr>
                <w:rFonts w:ascii="Book Antiqua" w:hAnsi="Book Antiqua"/>
                <w:i/>
                <w:lang w:val="en-US"/>
              </w:rPr>
              <w:t>both in terms of profita</w:t>
            </w:r>
            <w:r w:rsidRPr="00BE6FF9">
              <w:rPr>
                <w:rFonts w:ascii="Book Antiqua" w:hAnsi="Book Antiqua"/>
                <w:i/>
                <w:lang w:val="en-US"/>
              </w:rPr>
              <w:t>bility and marketing</w:t>
            </w:r>
            <w:r w:rsidR="008F7159" w:rsidRPr="00BE6FF9">
              <w:rPr>
                <w:rFonts w:ascii="Book Antiqua" w:hAnsi="Book Antiqua"/>
                <w:i/>
                <w:lang w:val="en-US"/>
              </w:rPr>
              <w:t>. This study aims to assess the efficiency of the 10 largest banks in Indonesia both in terms of</w:t>
            </w:r>
            <w:r w:rsidR="00AF0F68" w:rsidRPr="00BE6FF9">
              <w:rPr>
                <w:rFonts w:ascii="Book Antiqua" w:hAnsi="Book Antiqua"/>
                <w:i/>
                <w:lang w:val="en-US"/>
              </w:rPr>
              <w:t xml:space="preserve"> profitability and marketing </w:t>
            </w:r>
            <w:r w:rsidR="00AF0F68" w:rsidRPr="00BE6FF9">
              <w:rPr>
                <w:rFonts w:ascii="Book Antiqua" w:hAnsi="Book Antiqua"/>
                <w:i/>
              </w:rPr>
              <w:t>period</w:t>
            </w:r>
            <w:r w:rsidR="00AF0F68" w:rsidRPr="00BE6FF9">
              <w:rPr>
                <w:rFonts w:ascii="Book Antiqua" w:hAnsi="Book Antiqua"/>
                <w:i/>
                <w:lang w:val="en-US"/>
              </w:rPr>
              <w:t xml:space="preserve"> 2017</w:t>
            </w:r>
            <w:r w:rsidR="00AF0F68" w:rsidRPr="00BE6FF9">
              <w:rPr>
                <w:rFonts w:ascii="Book Antiqua" w:hAnsi="Book Antiqua"/>
                <w:i/>
              </w:rPr>
              <w:t>-</w:t>
            </w:r>
            <w:r w:rsidR="008F7159" w:rsidRPr="00BE6FF9">
              <w:rPr>
                <w:rFonts w:ascii="Book Antiqua" w:hAnsi="Book Antiqua"/>
                <w:i/>
                <w:lang w:val="en-US"/>
              </w:rPr>
              <w:t>2018 using the Data Envelopment Analysis (DEA) method. The results show that from 2017 to 2018 there were 7 banks that consistently obtained good profitability levels. The average bank profitability performance decreased from 2017 to 2018. From the marketing side</w:t>
            </w:r>
            <w:r w:rsidRPr="00BE6FF9">
              <w:rPr>
                <w:rFonts w:ascii="Book Antiqua" w:hAnsi="Book Antiqua"/>
                <w:i/>
              </w:rPr>
              <w:t>,</w:t>
            </w:r>
            <w:r w:rsidR="008F7159" w:rsidRPr="00BE6FF9">
              <w:rPr>
                <w:rFonts w:ascii="Book Antiqua" w:hAnsi="Book Antiqua"/>
                <w:i/>
                <w:lang w:val="en-US"/>
              </w:rPr>
              <w:t xml:space="preserve"> with the first input approach</w:t>
            </w:r>
            <w:r w:rsidRPr="00BE6FF9">
              <w:rPr>
                <w:rFonts w:ascii="Book Antiqua" w:hAnsi="Book Antiqua"/>
                <w:i/>
              </w:rPr>
              <w:t>,</w:t>
            </w:r>
            <w:r w:rsidRPr="00BE6FF9">
              <w:rPr>
                <w:rFonts w:ascii="Book Antiqua" w:hAnsi="Book Antiqua"/>
                <w:i/>
                <w:lang w:val="en-US"/>
              </w:rPr>
              <w:t xml:space="preserve"> during 2017-2018</w:t>
            </w:r>
            <w:r w:rsidR="008F7159" w:rsidRPr="00BE6FF9">
              <w:rPr>
                <w:rFonts w:ascii="Book Antiqua" w:hAnsi="Book Antiqua"/>
                <w:i/>
                <w:lang w:val="en-US"/>
              </w:rPr>
              <w:t xml:space="preserve"> there were only 6 banks that consistently obt</w:t>
            </w:r>
            <w:r w:rsidRPr="00BE6FF9">
              <w:rPr>
                <w:rFonts w:ascii="Book Antiqua" w:hAnsi="Book Antiqua"/>
                <w:i/>
                <w:lang w:val="en-US"/>
              </w:rPr>
              <w:t>ained good levels of efficiency</w:t>
            </w:r>
            <w:r w:rsidRPr="00BE6FF9">
              <w:rPr>
                <w:rFonts w:ascii="Book Antiqua" w:hAnsi="Book Antiqua"/>
                <w:i/>
              </w:rPr>
              <w:t>, while</w:t>
            </w:r>
            <w:r w:rsidRPr="00BE6FF9">
              <w:rPr>
                <w:rFonts w:ascii="Book Antiqua" w:hAnsi="Book Antiqua"/>
                <w:i/>
                <w:lang w:val="en-US"/>
              </w:rPr>
              <w:t xml:space="preserve"> </w:t>
            </w:r>
            <w:r w:rsidRPr="00BE6FF9">
              <w:rPr>
                <w:rFonts w:ascii="Book Antiqua" w:hAnsi="Book Antiqua"/>
                <w:i/>
              </w:rPr>
              <w:t xml:space="preserve">with </w:t>
            </w:r>
            <w:r w:rsidR="008F7159" w:rsidRPr="00BE6FF9">
              <w:rPr>
                <w:rFonts w:ascii="Book Antiqua" w:hAnsi="Book Antiqua"/>
                <w:i/>
                <w:lang w:val="en-US"/>
              </w:rPr>
              <w:t>the secon</w:t>
            </w:r>
            <w:r w:rsidRPr="00BE6FF9">
              <w:rPr>
                <w:rFonts w:ascii="Book Antiqua" w:hAnsi="Book Antiqua"/>
                <w:i/>
                <w:lang w:val="en-US"/>
              </w:rPr>
              <w:t xml:space="preserve">d input approach </w:t>
            </w:r>
            <w:r w:rsidRPr="00BE6FF9">
              <w:rPr>
                <w:rFonts w:ascii="Book Antiqua" w:hAnsi="Book Antiqua"/>
                <w:i/>
              </w:rPr>
              <w:t>there were</w:t>
            </w:r>
            <w:r w:rsidR="008F7159" w:rsidRPr="00BE6FF9">
              <w:rPr>
                <w:rFonts w:ascii="Book Antiqua" w:hAnsi="Book Antiqua"/>
                <w:i/>
                <w:lang w:val="en-US"/>
              </w:rPr>
              <w:t xml:space="preserve"> only 5 banks that consistently achieve</w:t>
            </w:r>
            <w:r w:rsidRPr="00BE6FF9">
              <w:rPr>
                <w:rFonts w:ascii="Book Antiqua" w:hAnsi="Book Antiqua"/>
                <w:i/>
              </w:rPr>
              <w:t>d</w:t>
            </w:r>
            <w:r w:rsidR="008F7159" w:rsidRPr="00BE6FF9">
              <w:rPr>
                <w:rFonts w:ascii="Book Antiqua" w:hAnsi="Book Antiqua"/>
                <w:i/>
                <w:lang w:val="en-US"/>
              </w:rPr>
              <w:t xml:space="preserve"> good efficiency. The average bank marketing performance declined from 2017 to 2018 using the first and second approaches. In general, bank performance in marketing is still below </w:t>
            </w:r>
            <w:r w:rsidR="00AF0F68" w:rsidRPr="00BE6FF9">
              <w:rPr>
                <w:rFonts w:ascii="Book Antiqua" w:hAnsi="Book Antiqua"/>
                <w:i/>
              </w:rPr>
              <w:t xml:space="preserve">the bank </w:t>
            </w:r>
            <w:r w:rsidR="008F7159" w:rsidRPr="00BE6FF9">
              <w:rPr>
                <w:rFonts w:ascii="Book Antiqua" w:hAnsi="Book Antiqua"/>
                <w:i/>
                <w:lang w:val="en-US"/>
              </w:rPr>
              <w:t xml:space="preserve">performance in profitability. The implication </w:t>
            </w:r>
            <w:r w:rsidRPr="00BE6FF9">
              <w:rPr>
                <w:rFonts w:ascii="Book Antiqua" w:hAnsi="Book Antiqua"/>
                <w:i/>
              </w:rPr>
              <w:t xml:space="preserve">is that </w:t>
            </w:r>
            <w:r w:rsidR="008F7159" w:rsidRPr="00BE6FF9">
              <w:rPr>
                <w:rFonts w:ascii="Book Antiqua" w:hAnsi="Book Antiqua"/>
                <w:i/>
                <w:lang w:val="en-US"/>
              </w:rPr>
              <w:t>in using DEA</w:t>
            </w:r>
            <w:r w:rsidRPr="00BE6FF9">
              <w:rPr>
                <w:rFonts w:ascii="Book Antiqua" w:hAnsi="Book Antiqua"/>
                <w:i/>
              </w:rPr>
              <w:t>, it</w:t>
            </w:r>
            <w:r w:rsidRPr="00BE6FF9">
              <w:rPr>
                <w:rFonts w:ascii="Book Antiqua" w:hAnsi="Book Antiqua"/>
                <w:i/>
                <w:lang w:val="en-US"/>
              </w:rPr>
              <w:t xml:space="preserve"> must be wise in </w:t>
            </w:r>
            <w:r w:rsidRPr="00BE6FF9">
              <w:rPr>
                <w:rFonts w:ascii="Book Antiqua" w:hAnsi="Book Antiqua"/>
                <w:i/>
              </w:rPr>
              <w:t>selecting</w:t>
            </w:r>
            <w:r w:rsidRPr="00BE6FF9">
              <w:rPr>
                <w:rFonts w:ascii="Book Antiqua" w:hAnsi="Book Antiqua"/>
                <w:i/>
                <w:lang w:val="en-US"/>
              </w:rPr>
              <w:t xml:space="preserve"> </w:t>
            </w:r>
            <w:r w:rsidRPr="00BE6FF9">
              <w:rPr>
                <w:rFonts w:ascii="Book Antiqua" w:hAnsi="Book Antiqua"/>
                <w:i/>
              </w:rPr>
              <w:t>the</w:t>
            </w:r>
            <w:r w:rsidRPr="00BE6FF9">
              <w:rPr>
                <w:rFonts w:ascii="Book Antiqua" w:hAnsi="Book Antiqua"/>
                <w:i/>
                <w:lang w:val="en-US"/>
              </w:rPr>
              <w:t xml:space="preserve"> input variables because </w:t>
            </w:r>
            <w:r w:rsidRPr="00BE6FF9">
              <w:rPr>
                <w:rFonts w:ascii="Book Antiqua" w:hAnsi="Book Antiqua"/>
                <w:i/>
              </w:rPr>
              <w:t>they</w:t>
            </w:r>
            <w:r w:rsidR="008F7159" w:rsidRPr="00BE6FF9">
              <w:rPr>
                <w:rFonts w:ascii="Book Antiqua" w:hAnsi="Book Antiqua"/>
                <w:i/>
                <w:lang w:val="en-US"/>
              </w:rPr>
              <w:t xml:space="preserve"> will produce different values.</w:t>
            </w:r>
          </w:p>
          <w:p w:rsidR="00BE6FF9" w:rsidRPr="00BE6FF9" w:rsidRDefault="00BE6FF9" w:rsidP="0085738A">
            <w:pPr>
              <w:jc w:val="both"/>
              <w:rPr>
                <w:rFonts w:ascii="Book Antiqua" w:hAnsi="Book Antiqua"/>
                <w:i/>
              </w:rPr>
            </w:pPr>
          </w:p>
        </w:tc>
      </w:tr>
      <w:tr w:rsidR="008F7159" w:rsidTr="008F7159">
        <w:tc>
          <w:tcPr>
            <w:tcW w:w="3192" w:type="dxa"/>
            <w:vMerge/>
          </w:tcPr>
          <w:p w:rsidR="008F7159" w:rsidRDefault="008F7159" w:rsidP="00863C11">
            <w:pPr>
              <w:jc w:val="both"/>
              <w:rPr>
                <w:rFonts w:ascii="Book Antiqua" w:hAnsi="Book Antiqua"/>
                <w:b/>
                <w:i/>
                <w:lang w:val="en-US"/>
              </w:rPr>
            </w:pPr>
          </w:p>
        </w:tc>
        <w:tc>
          <w:tcPr>
            <w:tcW w:w="318" w:type="dxa"/>
          </w:tcPr>
          <w:p w:rsidR="008F7159" w:rsidRDefault="008F7159" w:rsidP="00863C11">
            <w:pPr>
              <w:jc w:val="both"/>
              <w:rPr>
                <w:rFonts w:ascii="Book Antiqua" w:hAnsi="Book Antiqua"/>
                <w:b/>
                <w:i/>
                <w:lang w:val="en-US"/>
              </w:rPr>
            </w:pPr>
          </w:p>
        </w:tc>
        <w:tc>
          <w:tcPr>
            <w:tcW w:w="6066" w:type="dxa"/>
          </w:tcPr>
          <w:p w:rsidR="008F7159" w:rsidRPr="00BE6FF9" w:rsidRDefault="008F7159" w:rsidP="00863C11">
            <w:pPr>
              <w:jc w:val="both"/>
              <w:rPr>
                <w:rFonts w:ascii="Book Antiqua" w:hAnsi="Book Antiqua"/>
                <w:i/>
                <w:sz w:val="22"/>
                <w:szCs w:val="22"/>
                <w:lang w:val="en-US"/>
              </w:rPr>
            </w:pPr>
            <w:r w:rsidRPr="00BE6FF9">
              <w:rPr>
                <w:rFonts w:ascii="Book Antiqua" w:hAnsi="Book Antiqua"/>
                <w:i/>
                <w:sz w:val="22"/>
                <w:szCs w:val="22"/>
                <w:lang w:val="en-US"/>
              </w:rPr>
              <w:t>ABSTRAK</w:t>
            </w:r>
          </w:p>
        </w:tc>
      </w:tr>
      <w:tr w:rsidR="008F7159" w:rsidTr="008F7159">
        <w:tc>
          <w:tcPr>
            <w:tcW w:w="3192" w:type="dxa"/>
            <w:vMerge/>
          </w:tcPr>
          <w:p w:rsidR="008F7159" w:rsidRDefault="008F7159" w:rsidP="00863C11">
            <w:pPr>
              <w:jc w:val="both"/>
              <w:rPr>
                <w:rFonts w:ascii="Book Antiqua" w:hAnsi="Book Antiqua"/>
                <w:b/>
                <w:i/>
                <w:lang w:val="en-US"/>
              </w:rPr>
            </w:pPr>
          </w:p>
        </w:tc>
        <w:tc>
          <w:tcPr>
            <w:tcW w:w="318" w:type="dxa"/>
          </w:tcPr>
          <w:p w:rsidR="008F7159" w:rsidRDefault="008F7159" w:rsidP="00863C11">
            <w:pPr>
              <w:jc w:val="both"/>
              <w:rPr>
                <w:rFonts w:ascii="Book Antiqua" w:hAnsi="Book Antiqua"/>
                <w:b/>
                <w:i/>
                <w:lang w:val="en-US"/>
              </w:rPr>
            </w:pPr>
          </w:p>
        </w:tc>
        <w:tc>
          <w:tcPr>
            <w:tcW w:w="6066" w:type="dxa"/>
          </w:tcPr>
          <w:p w:rsidR="008F7159" w:rsidRPr="00BE6FF9" w:rsidRDefault="0085738A" w:rsidP="00863C11">
            <w:pPr>
              <w:jc w:val="both"/>
              <w:rPr>
                <w:rFonts w:ascii="Book Antiqua" w:hAnsi="Book Antiqua"/>
                <w:i/>
                <w:lang w:val="en-US"/>
              </w:rPr>
            </w:pPr>
            <w:r w:rsidRPr="00BE6FF9">
              <w:rPr>
                <w:rFonts w:ascii="Book Antiqua" w:hAnsi="Book Antiqua"/>
                <w:i/>
              </w:rPr>
              <w:t>Persaingan</w:t>
            </w:r>
            <w:r w:rsidRPr="00BE6FF9">
              <w:rPr>
                <w:rFonts w:ascii="Book Antiqua" w:hAnsi="Book Antiqua"/>
                <w:i/>
                <w:lang w:val="en-US"/>
              </w:rPr>
              <w:t xml:space="preserve"> </w:t>
            </w:r>
            <w:r w:rsidRPr="00BE6FF9">
              <w:rPr>
                <w:rFonts w:ascii="Book Antiqua" w:hAnsi="Book Antiqua"/>
                <w:i/>
              </w:rPr>
              <w:t>di dunia perbankan yang semakin</w:t>
            </w:r>
            <w:r w:rsidRPr="00BE6FF9">
              <w:rPr>
                <w:rFonts w:ascii="Book Antiqua" w:hAnsi="Book Antiqua"/>
                <w:i/>
                <w:lang w:val="en-US"/>
              </w:rPr>
              <w:t xml:space="preserve"> </w:t>
            </w:r>
            <w:r w:rsidRPr="00BE6FF9">
              <w:rPr>
                <w:rFonts w:ascii="Book Antiqua" w:hAnsi="Book Antiqua"/>
                <w:i/>
              </w:rPr>
              <w:t>ketat telah mendorong perusahaan perbankan untuk</w:t>
            </w:r>
            <w:r w:rsidRPr="00BE6FF9">
              <w:rPr>
                <w:rFonts w:ascii="Book Antiqua" w:hAnsi="Book Antiqua"/>
                <w:i/>
                <w:lang w:val="en-US"/>
              </w:rPr>
              <w:t xml:space="preserve"> </w:t>
            </w:r>
            <w:r w:rsidRPr="00BE6FF9">
              <w:rPr>
                <w:rFonts w:ascii="Book Antiqua" w:hAnsi="Book Antiqua"/>
                <w:i/>
              </w:rPr>
              <w:t>meningkatkan</w:t>
            </w:r>
            <w:r w:rsidR="008F7159" w:rsidRPr="00BE6FF9">
              <w:rPr>
                <w:rFonts w:ascii="Book Antiqua" w:hAnsi="Book Antiqua"/>
                <w:i/>
                <w:lang w:val="en-US"/>
              </w:rPr>
              <w:t xml:space="preserve"> efisiensi baik dari sisi prof</w:t>
            </w:r>
            <w:r w:rsidRPr="00BE6FF9">
              <w:rPr>
                <w:rFonts w:ascii="Book Antiqua" w:hAnsi="Book Antiqua"/>
                <w:i/>
                <w:lang w:val="en-US"/>
              </w:rPr>
              <w:t>itabilitas maupun marketing</w:t>
            </w:r>
            <w:r w:rsidR="008F7159" w:rsidRPr="00BE6FF9">
              <w:rPr>
                <w:rFonts w:ascii="Book Antiqua" w:hAnsi="Book Antiqua"/>
                <w:i/>
                <w:lang w:val="en-US"/>
              </w:rPr>
              <w:t xml:space="preserve">. Penelitian ini bertujuan </w:t>
            </w:r>
            <w:r w:rsidRPr="00BE6FF9">
              <w:rPr>
                <w:rFonts w:ascii="Book Antiqua" w:hAnsi="Book Antiqua"/>
                <w:i/>
              </w:rPr>
              <w:t xml:space="preserve">untuk </w:t>
            </w:r>
            <w:r w:rsidR="008F7159" w:rsidRPr="00BE6FF9">
              <w:rPr>
                <w:rFonts w:ascii="Book Antiqua" w:hAnsi="Book Antiqua"/>
                <w:i/>
                <w:lang w:val="en-US"/>
              </w:rPr>
              <w:t>menilai efisiensi 10 bank terbesar di Indonesia baik dari sisi profi</w:t>
            </w:r>
            <w:r w:rsidR="00AF0F68" w:rsidRPr="00BE6FF9">
              <w:rPr>
                <w:rFonts w:ascii="Book Antiqua" w:hAnsi="Book Antiqua"/>
                <w:i/>
                <w:lang w:val="en-US"/>
              </w:rPr>
              <w:t xml:space="preserve">tabilitas maupun marketing </w:t>
            </w:r>
            <w:r w:rsidR="00AF0F68" w:rsidRPr="00BE6FF9">
              <w:rPr>
                <w:rFonts w:ascii="Book Antiqua" w:hAnsi="Book Antiqua"/>
                <w:i/>
              </w:rPr>
              <w:t>periode</w:t>
            </w:r>
            <w:r w:rsidR="00AF0F68" w:rsidRPr="00BE6FF9">
              <w:rPr>
                <w:rFonts w:ascii="Book Antiqua" w:hAnsi="Book Antiqua"/>
                <w:i/>
                <w:lang w:val="en-US"/>
              </w:rPr>
              <w:t xml:space="preserve"> 2017</w:t>
            </w:r>
            <w:r w:rsidR="00AF0F68" w:rsidRPr="00BE6FF9">
              <w:rPr>
                <w:rFonts w:ascii="Book Antiqua" w:hAnsi="Book Antiqua"/>
                <w:i/>
              </w:rPr>
              <w:t>-</w:t>
            </w:r>
            <w:r w:rsidR="008F7159" w:rsidRPr="00BE6FF9">
              <w:rPr>
                <w:rFonts w:ascii="Book Antiqua" w:hAnsi="Book Antiqua"/>
                <w:i/>
                <w:lang w:val="en-US"/>
              </w:rPr>
              <w:t>2018 dengan menggunakan metode Data Envelopment Analyisis (DEA).</w:t>
            </w:r>
            <w:r w:rsidR="00AF0F68" w:rsidRPr="00BE6FF9">
              <w:rPr>
                <w:rFonts w:ascii="Book Antiqua" w:hAnsi="Book Antiqua"/>
                <w:i/>
              </w:rPr>
              <w:t xml:space="preserve"> </w:t>
            </w:r>
            <w:r w:rsidR="008F7159" w:rsidRPr="00BE6FF9">
              <w:rPr>
                <w:rFonts w:ascii="Book Antiqua" w:hAnsi="Book Antiqua"/>
                <w:i/>
                <w:lang w:val="en-US"/>
              </w:rPr>
              <w:t>Hasil</w:t>
            </w:r>
            <w:r w:rsidR="00AF0F68" w:rsidRPr="00BE6FF9">
              <w:rPr>
                <w:rFonts w:ascii="Book Antiqua" w:hAnsi="Book Antiqua"/>
                <w:i/>
                <w:lang w:val="en-US"/>
              </w:rPr>
              <w:t xml:space="preserve">nya menunjukkan bahwa </w:t>
            </w:r>
            <w:r w:rsidR="00AF0F68" w:rsidRPr="00BE6FF9">
              <w:rPr>
                <w:rFonts w:ascii="Book Antiqua" w:hAnsi="Book Antiqua"/>
                <w:i/>
              </w:rPr>
              <w:t>pada tahun</w:t>
            </w:r>
            <w:r w:rsidR="00AF0F68" w:rsidRPr="00BE6FF9">
              <w:rPr>
                <w:rFonts w:ascii="Book Antiqua" w:hAnsi="Book Antiqua"/>
                <w:i/>
                <w:lang w:val="en-US"/>
              </w:rPr>
              <w:t xml:space="preserve"> 2017</w:t>
            </w:r>
            <w:r w:rsidR="00AF0F68" w:rsidRPr="00BE6FF9">
              <w:rPr>
                <w:rFonts w:ascii="Book Antiqua" w:hAnsi="Book Antiqua"/>
                <w:i/>
              </w:rPr>
              <w:t xml:space="preserve"> hingga</w:t>
            </w:r>
            <w:r w:rsidR="008F7159" w:rsidRPr="00BE6FF9">
              <w:rPr>
                <w:rFonts w:ascii="Book Antiqua" w:hAnsi="Book Antiqua"/>
                <w:i/>
                <w:lang w:val="en-US"/>
              </w:rPr>
              <w:t xml:space="preserve"> 2018 ada 7 bank yang secara konsisten mem</w:t>
            </w:r>
            <w:r w:rsidR="00AF0F68" w:rsidRPr="00BE6FF9">
              <w:rPr>
                <w:rFonts w:ascii="Book Antiqua" w:hAnsi="Book Antiqua"/>
                <w:i/>
              </w:rPr>
              <w:t>p</w:t>
            </w:r>
            <w:r w:rsidR="008F7159" w:rsidRPr="00BE6FF9">
              <w:rPr>
                <w:rFonts w:ascii="Book Antiqua" w:hAnsi="Book Antiqua"/>
                <w:i/>
                <w:lang w:val="en-US"/>
              </w:rPr>
              <w:t>eroleh tingkat profitabilitas yang baik. Rata-rata kinerja profitabilitas bank menurun dari 2017 ke 2018. Dari sisi marketing dengan pendekatan input yang pertama</w:t>
            </w:r>
            <w:r w:rsidR="00AF0F68" w:rsidRPr="00BE6FF9">
              <w:rPr>
                <w:rFonts w:ascii="Book Antiqua" w:hAnsi="Book Antiqua"/>
                <w:i/>
              </w:rPr>
              <w:t>,</w:t>
            </w:r>
            <w:r w:rsidR="008F7159" w:rsidRPr="00BE6FF9">
              <w:rPr>
                <w:rFonts w:ascii="Book Antiqua" w:hAnsi="Book Antiqua"/>
                <w:i/>
                <w:lang w:val="en-US"/>
              </w:rPr>
              <w:t xml:space="preserve"> selama 2017-2018 hanya ada 6 bank yang secara konsisten memeroleh tingkat efisien</w:t>
            </w:r>
            <w:r w:rsidR="00AF0F68" w:rsidRPr="00BE6FF9">
              <w:rPr>
                <w:rFonts w:ascii="Book Antiqua" w:hAnsi="Book Antiqua"/>
                <w:i/>
                <w:lang w:val="en-US"/>
              </w:rPr>
              <w:t>si yang baik</w:t>
            </w:r>
            <w:r w:rsidR="00AF0F68" w:rsidRPr="00BE6FF9">
              <w:rPr>
                <w:rFonts w:ascii="Book Antiqua" w:hAnsi="Book Antiqua"/>
                <w:i/>
              </w:rPr>
              <w:t>, sedangkan</w:t>
            </w:r>
            <w:r w:rsidR="00AF0F68" w:rsidRPr="00BE6FF9">
              <w:rPr>
                <w:rFonts w:ascii="Book Antiqua" w:hAnsi="Book Antiqua"/>
                <w:i/>
                <w:lang w:val="en-US"/>
              </w:rPr>
              <w:t xml:space="preserve"> </w:t>
            </w:r>
            <w:r w:rsidR="00AF0F68" w:rsidRPr="00BE6FF9">
              <w:rPr>
                <w:rFonts w:ascii="Book Antiqua" w:hAnsi="Book Antiqua"/>
                <w:i/>
              </w:rPr>
              <w:t>d</w:t>
            </w:r>
            <w:r w:rsidR="008F7159" w:rsidRPr="00BE6FF9">
              <w:rPr>
                <w:rFonts w:ascii="Book Antiqua" w:hAnsi="Book Antiqua"/>
                <w:i/>
                <w:lang w:val="en-US"/>
              </w:rPr>
              <w:t xml:space="preserve">engan </w:t>
            </w:r>
            <w:r w:rsidR="00AF0F68" w:rsidRPr="00BE6FF9">
              <w:rPr>
                <w:rFonts w:ascii="Book Antiqua" w:hAnsi="Book Antiqua"/>
                <w:i/>
              </w:rPr>
              <w:t xml:space="preserve">menggunakan </w:t>
            </w:r>
            <w:r w:rsidR="008F7159" w:rsidRPr="00BE6FF9">
              <w:rPr>
                <w:rFonts w:ascii="Book Antiqua" w:hAnsi="Book Antiqua"/>
                <w:i/>
                <w:lang w:val="en-US"/>
              </w:rPr>
              <w:t>pendekatan input yang kedua</w:t>
            </w:r>
            <w:r w:rsidR="00AF0F68" w:rsidRPr="00BE6FF9">
              <w:rPr>
                <w:rFonts w:ascii="Book Antiqua" w:hAnsi="Book Antiqua"/>
                <w:i/>
              </w:rPr>
              <w:t>,</w:t>
            </w:r>
            <w:r w:rsidR="00AF0F68" w:rsidRPr="00BE6FF9">
              <w:rPr>
                <w:rFonts w:ascii="Book Antiqua" w:hAnsi="Book Antiqua"/>
                <w:i/>
                <w:lang w:val="en-US"/>
              </w:rPr>
              <w:t xml:space="preserve"> </w:t>
            </w:r>
            <w:r w:rsidR="008F7159" w:rsidRPr="00BE6FF9">
              <w:rPr>
                <w:rFonts w:ascii="Book Antiqua" w:hAnsi="Book Antiqua"/>
                <w:i/>
                <w:lang w:val="en-US"/>
              </w:rPr>
              <w:t>hanya ada 5 bank yang konsisten mencapai efisiensi yang baik. Rata-rata kinerja marketing bank menurun dari 2017 ke 2018 baik menggunakan pendekatan pertama maupun kedua. Secara umum kinerja bank dalam marketing masih dibawah kinerja dalam profitabilitas. Implikasinya  dalam menggunakan DEA harus bijak dalam pemilihan variabel inputnya karena akan menghasilkan nilai yang berbeda.</w:t>
            </w:r>
          </w:p>
        </w:tc>
      </w:tr>
    </w:tbl>
    <w:p w:rsidR="00863C11" w:rsidRPr="00723AE8" w:rsidRDefault="00863C11" w:rsidP="00863C11">
      <w:pPr>
        <w:spacing w:after="0" w:line="240" w:lineRule="auto"/>
        <w:jc w:val="both"/>
        <w:rPr>
          <w:rFonts w:ascii="Book Antiqua" w:eastAsia="Calibri" w:hAnsi="Book Antiqua" w:cs="Times New Roman"/>
          <w:color w:val="000000"/>
          <w:sz w:val="20"/>
          <w:szCs w:val="20"/>
          <w:lang w:val="en-US"/>
        </w:rPr>
      </w:pPr>
    </w:p>
    <w:p w:rsidR="007531D4" w:rsidRDefault="007531D4" w:rsidP="00863C11">
      <w:pPr>
        <w:spacing w:after="0" w:line="240" w:lineRule="auto"/>
        <w:jc w:val="both"/>
        <w:rPr>
          <w:rFonts w:ascii="Book Antiqua" w:eastAsia="Calibri" w:hAnsi="Book Antiqua" w:cs="Times New Roman"/>
          <w:b/>
          <w:color w:val="000000"/>
          <w:sz w:val="20"/>
          <w:szCs w:val="20"/>
          <w:lang w:val="en-US"/>
        </w:rPr>
        <w:sectPr w:rsidR="007531D4" w:rsidSect="002221B1">
          <w:footerReference w:type="default" r:id="rId7"/>
          <w:pgSz w:w="12240" w:h="15840"/>
          <w:pgMar w:top="1440" w:right="1440" w:bottom="1440" w:left="1440" w:header="720" w:footer="720" w:gutter="0"/>
          <w:cols w:space="720"/>
          <w:docGrid w:linePitch="360"/>
        </w:sectPr>
      </w:pPr>
    </w:p>
    <w:p w:rsidR="00863C11" w:rsidRPr="00723AE8" w:rsidRDefault="00863C11" w:rsidP="00863C11">
      <w:pPr>
        <w:spacing w:after="0" w:line="240" w:lineRule="auto"/>
        <w:jc w:val="both"/>
        <w:rPr>
          <w:rFonts w:ascii="Book Antiqua" w:eastAsia="Calibri" w:hAnsi="Book Antiqua" w:cs="Times New Roman"/>
          <w:b/>
          <w:i/>
          <w:color w:val="000000"/>
          <w:sz w:val="20"/>
          <w:szCs w:val="20"/>
          <w:lang w:val="en-US"/>
        </w:rPr>
      </w:pPr>
      <w:r w:rsidRPr="00723AE8">
        <w:rPr>
          <w:rFonts w:ascii="Book Antiqua" w:eastAsia="Calibri" w:hAnsi="Book Antiqua" w:cs="Times New Roman"/>
          <w:b/>
          <w:color w:val="000000"/>
          <w:sz w:val="20"/>
          <w:szCs w:val="20"/>
          <w:lang w:val="en-US"/>
        </w:rPr>
        <w:lastRenderedPageBreak/>
        <w:t xml:space="preserve">1. </w:t>
      </w:r>
      <w:r w:rsidRPr="00597A72">
        <w:rPr>
          <w:rFonts w:ascii="Book Antiqua" w:eastAsia="Calibri" w:hAnsi="Book Antiqua" w:cs="Times New Roman"/>
          <w:b/>
          <w:color w:val="000000"/>
          <w:sz w:val="20"/>
          <w:szCs w:val="20"/>
          <w:lang w:val="en-US"/>
        </w:rPr>
        <w:t>INTRODUCTION</w:t>
      </w:r>
    </w:p>
    <w:p w:rsidR="00863C11" w:rsidRPr="00723AE8" w:rsidRDefault="00863C11" w:rsidP="00863C11">
      <w:pPr>
        <w:spacing w:after="0" w:line="240" w:lineRule="auto"/>
        <w:jc w:val="both"/>
        <w:rPr>
          <w:rFonts w:ascii="Book Antiqua" w:eastAsia="Calibri" w:hAnsi="Book Antiqua" w:cs="Times New Roman"/>
          <w:color w:val="000000"/>
          <w:sz w:val="20"/>
          <w:szCs w:val="20"/>
          <w:lang w:val="en-US"/>
        </w:rPr>
      </w:pPr>
      <w:r w:rsidRPr="00723AE8">
        <w:rPr>
          <w:rFonts w:ascii="Book Antiqua" w:eastAsia="Calibri" w:hAnsi="Book Antiqua" w:cs="Times New Roman"/>
          <w:sz w:val="20"/>
          <w:szCs w:val="20"/>
          <w:lang w:val="en-US"/>
        </w:rPr>
        <w:t xml:space="preserve">The stability of a country's financial system is largely dependent on the stability of the banking system. At present the competition in the banking sector in Indonesia is quite fierce. A large number of banks offer a variety of products both in funds and credit. Banks not only compete through product parameters that carry short-term effects, but also build competitive advantage with a long-term </w:t>
      </w:r>
      <w:r w:rsidRPr="00723AE8">
        <w:rPr>
          <w:rFonts w:ascii="Book Antiqua" w:eastAsia="Calibri" w:hAnsi="Book Antiqua" w:cs="Times New Roman"/>
          <w:sz w:val="20"/>
          <w:szCs w:val="20"/>
          <w:lang w:val="en-US"/>
        </w:rPr>
        <w:lastRenderedPageBreak/>
        <w:t>perspective. The main contribution to the bank's long-term strategy is the assessment of its activities from the perspective of performance and</w:t>
      </w:r>
      <w:r w:rsidR="00723AE8">
        <w:rPr>
          <w:rFonts w:ascii="Book Antiqua" w:eastAsia="Calibri" w:hAnsi="Book Antiqua" w:cs="Times New Roman"/>
          <w:sz w:val="20"/>
          <w:szCs w:val="20"/>
          <w:lang w:val="en-US"/>
        </w:rPr>
        <w:t xml:space="preserve"> efficiency. Bank performance ca</w:t>
      </w:r>
      <w:r w:rsidRPr="00723AE8">
        <w:rPr>
          <w:rFonts w:ascii="Book Antiqua" w:eastAsia="Calibri" w:hAnsi="Book Antiqua" w:cs="Times New Roman"/>
          <w:sz w:val="20"/>
          <w:szCs w:val="20"/>
          <w:lang w:val="en-US"/>
        </w:rPr>
        <w:t xml:space="preserve">n be seen from the internal side, such as profitability, and external side, such as marketing in the form of the value of its stocks on the </w:t>
      </w:r>
      <w:r w:rsidR="002221B1" w:rsidRPr="00723AE8">
        <w:rPr>
          <w:rFonts w:ascii="Book Antiqua" w:eastAsia="Calibri" w:hAnsi="Book Antiqua" w:cs="Times New Roman"/>
          <w:sz w:val="20"/>
          <w:szCs w:val="20"/>
          <w:lang w:val="en-US"/>
        </w:rPr>
        <w:t xml:space="preserve">stock </w:t>
      </w:r>
      <w:r w:rsidRPr="00723AE8">
        <w:rPr>
          <w:rFonts w:ascii="Book Antiqua" w:eastAsia="Calibri" w:hAnsi="Book Antiqua" w:cs="Times New Roman"/>
          <w:sz w:val="20"/>
          <w:szCs w:val="20"/>
          <w:lang w:val="en-US"/>
        </w:rPr>
        <w:t xml:space="preserve">exchange. This all indicates the efficiency of the bank's operations. The level of bank profitability has continued to decline over the past 5 years due to </w:t>
      </w:r>
      <w:r w:rsidRPr="00723AE8">
        <w:rPr>
          <w:rFonts w:ascii="Book Antiqua" w:eastAsia="Calibri" w:hAnsi="Book Antiqua" w:cs="Times New Roman"/>
          <w:sz w:val="20"/>
          <w:szCs w:val="20"/>
          <w:lang w:val="en-US"/>
        </w:rPr>
        <w:lastRenderedPageBreak/>
        <w:t>weak lending margins and the high ratio of non-performing loans (Baihaqi, 2017). Stock prices of large banks recorded a significant decline. For example, the stock price of PT Bank Rakyat Indonesia Tbk (BBRI) dropped 3.98% to IDR 4,100 per stock. The stock price of PT Bank Central Asia Tbk (BBCA) dropped 2% to IDR 29,400. The stock price of PT Bank Mandiri Tbk (BMRI) dropped 2.36% to IDR 7,250, and the stock price of PT Bank Negara Indonesia Tbk (BBNI) dropped 1.26% to IDR 7,825 per stock (Baihaqi, 2017).</w:t>
      </w:r>
    </w:p>
    <w:p w:rsidR="00863C11" w:rsidRPr="00723AE8" w:rsidRDefault="00AF0F68" w:rsidP="002221B1">
      <w:pPr>
        <w:spacing w:after="0" w:line="240" w:lineRule="auto"/>
        <w:ind w:firstLine="426"/>
        <w:jc w:val="both"/>
        <w:rPr>
          <w:rFonts w:ascii="Book Antiqua" w:eastAsia="Calibri" w:hAnsi="Book Antiqua" w:cs="Times New Roman"/>
          <w:color w:val="000000"/>
          <w:sz w:val="20"/>
          <w:szCs w:val="20"/>
          <w:lang w:val="en-US"/>
        </w:rPr>
      </w:pPr>
      <w:r>
        <w:rPr>
          <w:rFonts w:ascii="Book Antiqua" w:eastAsia="Calibri" w:hAnsi="Book Antiqua" w:cs="Times New Roman"/>
          <w:color w:val="000000"/>
          <w:sz w:val="20"/>
          <w:szCs w:val="20"/>
          <w:lang w:val="en-US"/>
        </w:rPr>
        <w:t xml:space="preserve">There are 2 methods </w:t>
      </w:r>
      <w:r>
        <w:rPr>
          <w:rFonts w:ascii="Book Antiqua" w:eastAsia="Calibri" w:hAnsi="Book Antiqua" w:cs="Times New Roman"/>
          <w:color w:val="000000"/>
          <w:sz w:val="20"/>
          <w:szCs w:val="20"/>
        </w:rPr>
        <w:t>used to</w:t>
      </w:r>
      <w:r>
        <w:rPr>
          <w:rFonts w:ascii="Book Antiqua" w:eastAsia="Calibri" w:hAnsi="Book Antiqua" w:cs="Times New Roman"/>
          <w:color w:val="000000"/>
          <w:sz w:val="20"/>
          <w:szCs w:val="20"/>
          <w:lang w:val="en-US"/>
        </w:rPr>
        <w:t xml:space="preserve"> </w:t>
      </w:r>
      <w:r>
        <w:rPr>
          <w:rFonts w:ascii="Book Antiqua" w:eastAsia="Calibri" w:hAnsi="Book Antiqua" w:cs="Times New Roman"/>
          <w:color w:val="000000"/>
          <w:sz w:val="20"/>
          <w:szCs w:val="20"/>
        </w:rPr>
        <w:t>measure</w:t>
      </w:r>
      <w:r w:rsidR="00863C11" w:rsidRPr="00723AE8">
        <w:rPr>
          <w:rFonts w:ascii="Book Antiqua" w:eastAsia="Calibri" w:hAnsi="Book Antiqua" w:cs="Times New Roman"/>
          <w:color w:val="000000"/>
          <w:sz w:val="20"/>
          <w:szCs w:val="20"/>
          <w:lang w:val="en-US"/>
        </w:rPr>
        <w:t xml:space="preserve"> efficiency: Parametric Method and Non-Parametric Method. Parametric method uses econometric techniques to obtain a benchmark of the optimal combination of cost and production functions. One of the tools used is Stochastic Frontier Analysis (SFA). The non-parametric method commonly used is Data Envelopment Analysis (DEA). DEA is an approach to identify best practices among Decision Making Units (DMU) of several inputs and outputs (Seiford and Zhu 2011). DEA has advantages over ratio and regression analysis (Mulyadi 2016). If the unit of analysis has multiple inputs and outputs, it will be difficult to analyze with ratio and regression analysis. Research conducted using the non-parametric DEA methodology reveals that private banks are relatively more efficient than commercial banks (Jyoti Singh et.all, 2016). Ouenniche and Carrales, 2018 used DEA to analyze the efficiency of Commercial Banks in the UK, and the results showed that the average commercial bank in the UK, both domestic and foreign, had not yet reached the level of efficiency either using overall technical efficiency, pure technical efficiency, or scale efficiency. Othman et al, 2016 conducted a literature review related to measuring the relative efficiency of banks using DEA. Tahir et all, 2009 used DEA to assess bank efficiency. The results showed that domestic banks were relatively more efficient than foreign banks. Lee 2017 used DEA to assess bank efficiency and the results showed that most Korean banks recovered from the worst performance in 2011 and showed similar performance in recent years. Wahyudi, 2018, examined the efficiency of banking for ASEAN-5 countries using DEA. The results showed a relatively high level of efficiency of each bank in </w:t>
      </w:r>
      <w:r w:rsidR="00863C11" w:rsidRPr="00723AE8">
        <w:rPr>
          <w:rFonts w:ascii="Book Antiqua" w:eastAsia="Calibri" w:hAnsi="Book Antiqua" w:cs="Times New Roman"/>
          <w:color w:val="000000"/>
          <w:sz w:val="20"/>
          <w:szCs w:val="20"/>
          <w:lang w:val="en-US"/>
        </w:rPr>
        <w:lastRenderedPageBreak/>
        <w:t>each country. Al-Faraj, 1993 used the DEA to assess commercial bank branches in Saudi Arabia to evaluate the relative efficiency of branches.</w:t>
      </w:r>
    </w:p>
    <w:p w:rsidR="00863C11" w:rsidRPr="00723AE8" w:rsidRDefault="00863C11" w:rsidP="00863C11">
      <w:pPr>
        <w:spacing w:after="0" w:line="240" w:lineRule="auto"/>
        <w:jc w:val="both"/>
        <w:rPr>
          <w:rFonts w:ascii="Book Antiqua" w:eastAsia="Calibri" w:hAnsi="Book Antiqua" w:cs="Times New Roman"/>
          <w:color w:val="000000"/>
          <w:sz w:val="20"/>
          <w:szCs w:val="20"/>
          <w:lang w:val="en-US"/>
        </w:rPr>
      </w:pPr>
      <w:r w:rsidRPr="00723AE8">
        <w:rPr>
          <w:rFonts w:ascii="Book Antiqua" w:eastAsia="Calibri" w:hAnsi="Book Antiqua" w:cs="Times New Roman"/>
          <w:iCs/>
          <w:color w:val="000000"/>
          <w:sz w:val="20"/>
          <w:szCs w:val="20"/>
          <w:shd w:val="clear" w:color="auto" w:fill="FFFFFF"/>
          <w:lang w:val="en-US"/>
        </w:rPr>
        <w:t>This study uses the DEA model Cook and Zhu (2014) to analyze the profitability and marketing of the 10 largest banks in Indonesia. This research is expected to be able to explain the condition of the banks both in terms of profitability (internal) and the marketing of the banks as reflected in the value of stock on the exchange (external). From the DEA model there will also be potential improvements, which are recommendations for the efforts the bank must make in order to achieve good performance. This research is expected to be able to contribute academically and practically in assessing banking performance using DEA.</w:t>
      </w:r>
    </w:p>
    <w:p w:rsidR="00863C11" w:rsidRPr="00723AE8" w:rsidRDefault="00863C11" w:rsidP="00863C11">
      <w:pPr>
        <w:spacing w:after="0" w:line="240" w:lineRule="auto"/>
        <w:jc w:val="both"/>
        <w:rPr>
          <w:rFonts w:ascii="Book Antiqua" w:eastAsia="Calibri" w:hAnsi="Book Antiqua" w:cs="Times New Roman"/>
          <w:iCs/>
          <w:color w:val="000000"/>
          <w:sz w:val="20"/>
          <w:szCs w:val="20"/>
          <w:shd w:val="clear" w:color="auto" w:fill="FFFFFF"/>
          <w:lang w:val="en-US"/>
        </w:rPr>
      </w:pPr>
    </w:p>
    <w:p w:rsidR="00863C11" w:rsidRPr="00723AE8" w:rsidRDefault="00863C11" w:rsidP="00863C11">
      <w:pPr>
        <w:spacing w:after="0" w:line="240" w:lineRule="auto"/>
        <w:jc w:val="both"/>
        <w:rPr>
          <w:rFonts w:ascii="Book Antiqua" w:eastAsia="Calibri" w:hAnsi="Book Antiqua" w:cs="Times New Roman"/>
          <w:b/>
          <w:iCs/>
          <w:color w:val="000000"/>
          <w:sz w:val="20"/>
          <w:szCs w:val="20"/>
          <w:shd w:val="clear" w:color="auto" w:fill="FFFFFF"/>
          <w:lang w:val="en-US"/>
        </w:rPr>
      </w:pPr>
      <w:r w:rsidRPr="00723AE8">
        <w:rPr>
          <w:rFonts w:ascii="Book Antiqua" w:eastAsia="Calibri" w:hAnsi="Book Antiqua" w:cs="Times New Roman"/>
          <w:b/>
          <w:iCs/>
          <w:color w:val="000000"/>
          <w:sz w:val="20"/>
          <w:szCs w:val="20"/>
          <w:shd w:val="clear" w:color="auto" w:fill="FFFFFF"/>
          <w:lang w:val="en-US"/>
        </w:rPr>
        <w:t xml:space="preserve">2. THEORETICAL FRAMEWORK </w:t>
      </w:r>
    </w:p>
    <w:p w:rsidR="002221B1" w:rsidRPr="00723AE8" w:rsidRDefault="00863C11" w:rsidP="00863C11">
      <w:pPr>
        <w:spacing w:after="0" w:line="240" w:lineRule="auto"/>
        <w:jc w:val="both"/>
        <w:rPr>
          <w:rFonts w:ascii="Book Antiqua" w:eastAsia="Calibri" w:hAnsi="Book Antiqua" w:cs="Times New Roman"/>
          <w:i/>
          <w:iCs/>
          <w:color w:val="000000"/>
          <w:sz w:val="20"/>
          <w:szCs w:val="20"/>
          <w:shd w:val="clear" w:color="auto" w:fill="FFFFFF"/>
          <w:lang w:val="en-US"/>
        </w:rPr>
      </w:pPr>
      <w:r w:rsidRPr="00723AE8">
        <w:rPr>
          <w:rFonts w:ascii="Book Antiqua" w:eastAsia="Calibri" w:hAnsi="Book Antiqua" w:cs="Times New Roman"/>
          <w:sz w:val="20"/>
          <w:szCs w:val="20"/>
          <w:lang w:val="en-US"/>
        </w:rPr>
        <w:t>Data Envelopment Analysis (DEA) is the a</w:t>
      </w:r>
      <w:r w:rsidR="00AF0F68">
        <w:rPr>
          <w:rFonts w:ascii="Book Antiqua" w:eastAsia="Calibri" w:hAnsi="Book Antiqua" w:cs="Times New Roman"/>
          <w:sz w:val="20"/>
          <w:szCs w:val="20"/>
        </w:rPr>
        <w:t>p</w:t>
      </w:r>
      <w:r w:rsidRPr="00723AE8">
        <w:rPr>
          <w:rFonts w:ascii="Book Antiqua" w:eastAsia="Calibri" w:hAnsi="Book Antiqua" w:cs="Times New Roman"/>
          <w:sz w:val="20"/>
          <w:szCs w:val="20"/>
          <w:lang w:val="en-US"/>
        </w:rPr>
        <w:t xml:space="preserve">plication of </w:t>
      </w:r>
      <w:r w:rsidR="00AF0F68">
        <w:rPr>
          <w:rFonts w:ascii="Book Antiqua" w:eastAsia="Calibri" w:hAnsi="Book Antiqua" w:cs="Times New Roman"/>
          <w:sz w:val="20"/>
          <w:szCs w:val="20"/>
          <w:lang w:val="en-US"/>
        </w:rPr>
        <w:t>Linear Program to assess the ef</w:t>
      </w:r>
      <w:r w:rsidRPr="00723AE8">
        <w:rPr>
          <w:rFonts w:ascii="Book Antiqua" w:eastAsia="Calibri" w:hAnsi="Book Antiqua" w:cs="Times New Roman"/>
          <w:sz w:val="20"/>
          <w:szCs w:val="20"/>
          <w:lang w:val="en-US"/>
        </w:rPr>
        <w:t>ficiency of similar units that have the same goals. The unit</w:t>
      </w:r>
      <w:r w:rsidR="00AF0F68">
        <w:rPr>
          <w:rFonts w:ascii="Book Antiqua" w:eastAsia="Calibri" w:hAnsi="Book Antiqua" w:cs="Times New Roman"/>
          <w:sz w:val="20"/>
          <w:szCs w:val="20"/>
        </w:rPr>
        <w:t>s</w:t>
      </w:r>
      <w:r w:rsidRPr="00723AE8">
        <w:rPr>
          <w:rFonts w:ascii="Book Antiqua" w:eastAsia="Calibri" w:hAnsi="Book Antiqua" w:cs="Times New Roman"/>
          <w:sz w:val="20"/>
          <w:szCs w:val="20"/>
          <w:lang w:val="en-US"/>
        </w:rPr>
        <w:t xml:space="preserve"> can mean bank, branch, work unit or product. DEA was introduced first by Charnes, Cooper &amp; Rhodes 1978 with the assumption of constant return to scale (CRS), then in 1984 the variable of return to scale (VRS) was introduced by Banker, Charnes and Cooper (Seiford and Zhu 2011). DEA efficiency is measured by linking total output to total input and </w:t>
      </w:r>
      <w:r w:rsidR="00AF0F68">
        <w:rPr>
          <w:rFonts w:ascii="Book Antiqua" w:eastAsia="Calibri" w:hAnsi="Book Antiqua" w:cs="Times New Roman"/>
          <w:sz w:val="20"/>
          <w:szCs w:val="20"/>
        </w:rPr>
        <w:t xml:space="preserve">is </w:t>
      </w:r>
      <w:r w:rsidRPr="00723AE8">
        <w:rPr>
          <w:rFonts w:ascii="Book Antiqua" w:eastAsia="Calibri" w:hAnsi="Book Antiqua" w:cs="Times New Roman"/>
          <w:sz w:val="20"/>
          <w:szCs w:val="20"/>
          <w:lang w:val="en-US"/>
        </w:rPr>
        <w:t>expressed in percent. An efficient unit is the unit that gets a value</w:t>
      </w:r>
      <w:r w:rsidR="00AF0F68">
        <w:rPr>
          <w:rFonts w:ascii="Book Antiqua" w:eastAsia="Calibri" w:hAnsi="Book Antiqua" w:cs="Times New Roman"/>
          <w:sz w:val="20"/>
          <w:szCs w:val="20"/>
          <w:lang w:val="en-US"/>
        </w:rPr>
        <w:t xml:space="preserve"> of 100%. DEA analysis has seve</w:t>
      </w:r>
      <w:r w:rsidRPr="00723AE8">
        <w:rPr>
          <w:rFonts w:ascii="Book Antiqua" w:eastAsia="Calibri" w:hAnsi="Book Antiqua" w:cs="Times New Roman"/>
          <w:sz w:val="20"/>
          <w:szCs w:val="20"/>
          <w:lang w:val="en-US"/>
        </w:rPr>
        <w:t>ral benefits in scoring and ranking, performance improvement, benchmarking, resource allocation, optimum oriental scale and cross efficiency analysis (Mulyadi 2016).</w:t>
      </w:r>
    </w:p>
    <w:p w:rsidR="00AF0F68" w:rsidRDefault="00863C11" w:rsidP="00AF0F68">
      <w:pPr>
        <w:spacing w:after="0" w:line="240" w:lineRule="auto"/>
        <w:ind w:firstLine="426"/>
        <w:jc w:val="both"/>
        <w:rPr>
          <w:rFonts w:ascii="Book Antiqua" w:eastAsia="Calibri" w:hAnsi="Book Antiqua" w:cs="Times New Roman"/>
          <w:i/>
          <w:iCs/>
          <w:color w:val="000000"/>
          <w:sz w:val="20"/>
          <w:szCs w:val="20"/>
          <w:shd w:val="clear" w:color="auto" w:fill="FFFFFF"/>
        </w:rPr>
      </w:pPr>
      <w:r w:rsidRPr="00723AE8">
        <w:rPr>
          <w:rFonts w:ascii="Book Antiqua" w:eastAsia="Calibri" w:hAnsi="Book Antiqua" w:cs="Times New Roman"/>
          <w:sz w:val="20"/>
          <w:szCs w:val="20"/>
          <w:lang w:val="en-US"/>
        </w:rPr>
        <w:t xml:space="preserve">The DEA Model formulation is measured in a certain way. As an example, we will compare the p efficiency of a bank. Each bank uses m type of input to produce n type of output. Xip &gt; 0 is the number of input i used by bank to p; Yjp &gt; 0 is the number of output j generated by bank to p. The decision variable of the case is the weight that must be given to each input and output by the bank to p. For example, Uik is the weight given to input i by the bank to k. Vjk is the weight given to output j by the bank to k. So Uik and Vjk are decision variables, the variables whose value will be determined through a linear program. We then formulate a number of fractional linear programs of p, one formulation </w:t>
      </w:r>
      <w:r w:rsidRPr="00723AE8">
        <w:rPr>
          <w:rFonts w:ascii="Book Antiqua" w:eastAsia="Calibri" w:hAnsi="Book Antiqua" w:cs="Times New Roman"/>
          <w:sz w:val="20"/>
          <w:szCs w:val="20"/>
          <w:lang w:val="en-US"/>
        </w:rPr>
        <w:lastRenderedPageBreak/>
        <w:t>of a linear program for each bank in the sample. The objective function of each fractional linear program is the ratio of the total weighted output from the bank to k divided by the total weighted input.</w:t>
      </w:r>
    </w:p>
    <w:p w:rsidR="00863C11" w:rsidRPr="00AF0F68" w:rsidRDefault="00863C11" w:rsidP="00AF0F68">
      <w:pPr>
        <w:spacing w:after="0" w:line="240" w:lineRule="auto"/>
        <w:ind w:firstLine="426"/>
        <w:jc w:val="both"/>
        <w:rPr>
          <w:rFonts w:ascii="Book Antiqua" w:eastAsia="Calibri" w:hAnsi="Book Antiqua" w:cs="Times New Roman"/>
          <w:i/>
          <w:iCs/>
          <w:color w:val="000000"/>
          <w:sz w:val="20"/>
          <w:szCs w:val="20"/>
          <w:shd w:val="clear" w:color="auto" w:fill="FFFFFF"/>
        </w:rPr>
      </w:pPr>
      <w:r w:rsidRPr="00723AE8">
        <w:rPr>
          <w:rFonts w:ascii="Book Antiqua" w:eastAsia="Calibri" w:hAnsi="Book Antiqua" w:cs="Times New Roman"/>
          <w:sz w:val="20"/>
          <w:szCs w:val="20"/>
          <w:lang w:val="en-US"/>
        </w:rPr>
        <w:t>The objective function formula which is the efficiency value is as follows</w:t>
      </w:r>
      <w:r w:rsidR="00AF0F68">
        <w:rPr>
          <w:rFonts w:ascii="Book Antiqua" w:eastAsia="Calibri" w:hAnsi="Book Antiqua" w:cs="Times New Roman"/>
          <w:sz w:val="20"/>
          <w:szCs w:val="20"/>
        </w:rPr>
        <w:t>:</w:t>
      </w:r>
    </w:p>
    <w:p w:rsidR="00863C11" w:rsidRPr="00F00584" w:rsidRDefault="00863C11" w:rsidP="00863C11">
      <w:pPr>
        <w:spacing w:after="0" w:line="240" w:lineRule="auto"/>
        <w:jc w:val="both"/>
        <w:rPr>
          <w:rFonts w:ascii="Book Antiqua" w:eastAsia="Calibri" w:hAnsi="Book Antiqua" w:cs="Times New Roman"/>
          <w:sz w:val="20"/>
          <w:szCs w:val="20"/>
        </w:rPr>
      </w:pPr>
      <w:r w:rsidRPr="00723AE8">
        <w:rPr>
          <w:rFonts w:ascii="Book Antiqua" w:eastAsia="Calibri" w:hAnsi="Book Antiqua" w:cs="Times New Roman"/>
          <w:sz w:val="20"/>
          <w:szCs w:val="20"/>
          <w:lang w:val="en-US"/>
        </w:rPr>
        <w:t xml:space="preserve">                                                </w:t>
      </w:r>
      <w:r w:rsidRPr="00723AE8">
        <w:rPr>
          <w:rFonts w:ascii="Book Antiqua" w:eastAsia="Calibri" w:hAnsi="Book Antiqua" w:cs="Times New Roman"/>
          <w:sz w:val="20"/>
          <w:szCs w:val="20"/>
          <w:lang w:val="en-US"/>
        </w:rPr>
        <w:br/>
      </w:r>
      <m:oMathPara>
        <m:oMath>
          <m:nary>
            <m:naryPr>
              <m:chr m:val="∑"/>
              <m:grow m:val="1"/>
              <m:ctrlPr>
                <w:rPr>
                  <w:rFonts w:ascii="Cambria Math" w:hAnsi="Times New Roman"/>
                  <w:i/>
                  <w:sz w:val="20"/>
                  <w:szCs w:val="20"/>
                  <w:lang w:val="en-US"/>
                </w:rPr>
              </m:ctrlPr>
            </m:naryPr>
            <m:sub>
              <m:r>
                <w:rPr>
                  <w:rFonts w:ascii="Cambria Math" w:eastAsia="Cambria Math" w:hAnsi="Cambria Math"/>
                  <w:sz w:val="20"/>
                  <w:szCs w:val="20"/>
                  <w:lang w:val="en-US"/>
                </w:rPr>
                <m:t>j</m:t>
              </m:r>
              <m:r>
                <w:rPr>
                  <w:rFonts w:ascii="Cambria Math" w:eastAsia="Cambria Math" w:hAnsi="Times New Roman"/>
                  <w:sz w:val="20"/>
                  <w:szCs w:val="20"/>
                  <w:lang w:val="en-US"/>
                </w:rPr>
                <m:t>=1</m:t>
              </m:r>
            </m:sub>
            <m:sup>
              <m:r>
                <w:rPr>
                  <w:rFonts w:ascii="Cambria Math" w:eastAsia="Cambria Math" w:hAnsi="Cambria Math"/>
                  <w:sz w:val="20"/>
                  <w:szCs w:val="20"/>
                  <w:lang w:val="en-US"/>
                </w:rPr>
                <m:t>n</m:t>
              </m:r>
            </m:sup>
            <m:e>
              <m:r>
                <w:rPr>
                  <w:rFonts w:ascii="Cambria Math" w:hAnsi="Times New Roman"/>
                  <w:sz w:val="20"/>
                  <w:szCs w:val="20"/>
                  <w:lang w:val="en-US"/>
                </w:rPr>
                <m:t>VjkYjk</m:t>
              </m:r>
            </m:e>
          </m:nary>
        </m:oMath>
      </m:oMathPara>
    </w:p>
    <w:p w:rsidR="00863C11" w:rsidRPr="00723AE8" w:rsidRDefault="007531D4" w:rsidP="007531D4">
      <w:pPr>
        <w:spacing w:after="0" w:line="240" w:lineRule="auto"/>
        <w:jc w:val="both"/>
        <w:rPr>
          <w:rFonts w:ascii="Book Antiqua" w:eastAsia="Calibri" w:hAnsi="Book Antiqua" w:cs="Times New Roman"/>
          <w:i/>
          <w:sz w:val="20"/>
          <w:szCs w:val="20"/>
          <w:lang w:val="en-US"/>
        </w:rPr>
      </w:pPr>
      <w:r>
        <w:rPr>
          <w:rFonts w:ascii="Book Antiqua" w:eastAsia="Calibri" w:hAnsi="Book Antiqua" w:cs="Times New Roman"/>
          <w:sz w:val="20"/>
          <w:szCs w:val="20"/>
          <w:lang w:val="en-US"/>
        </w:rPr>
        <w:t>Maximum</w:t>
      </w:r>
      <w:r w:rsidR="00F00584">
        <w:rPr>
          <w:rFonts w:ascii="Book Antiqua" w:eastAsia="Calibri" w:hAnsi="Book Antiqua" w:cs="Times New Roman"/>
          <w:sz w:val="20"/>
          <w:szCs w:val="20"/>
          <w:lang w:val="en-US"/>
        </w:rPr>
        <w:t>Zk</w:t>
      </w:r>
      <w:r w:rsidR="00863C11" w:rsidRPr="00723AE8">
        <w:rPr>
          <w:rFonts w:ascii="Book Antiqua" w:eastAsia="Calibri" w:hAnsi="Book Antiqua" w:cs="Times New Roman"/>
          <w:sz w:val="20"/>
          <w:szCs w:val="20"/>
          <w:lang w:val="en-US"/>
        </w:rPr>
        <w:t>=</w:t>
      </w:r>
      <w:r w:rsidR="00863C11" w:rsidRPr="00723AE8">
        <w:rPr>
          <w:rFonts w:ascii="Book Antiqua" w:eastAsia="Calibri" w:hAnsi="Book Antiqua" w:cs="Times New Roman"/>
          <w:i/>
          <w:sz w:val="20"/>
          <w:szCs w:val="20"/>
          <w:lang w:val="en-US"/>
        </w:rPr>
        <w:t xml:space="preserve"> _</w:t>
      </w:r>
      <w:r>
        <w:rPr>
          <w:rFonts w:ascii="Book Antiqua" w:eastAsia="Calibri" w:hAnsi="Book Antiqua" w:cs="Times New Roman"/>
          <w:i/>
          <w:sz w:val="20"/>
          <w:szCs w:val="20"/>
          <w:lang w:val="en-US"/>
        </w:rPr>
        <w:t>______________________________</w:t>
      </w:r>
      <w:r>
        <w:rPr>
          <w:rFonts w:ascii="Book Antiqua" w:eastAsia="Calibri" w:hAnsi="Book Antiqua" w:cs="Times New Roman"/>
          <w:i/>
          <w:sz w:val="20"/>
          <w:szCs w:val="20"/>
          <w:lang w:val="en-US"/>
        </w:rPr>
        <w:tab/>
      </w:r>
      <w:r w:rsidR="00863C11" w:rsidRPr="00723AE8">
        <w:rPr>
          <w:rFonts w:ascii="Book Antiqua" w:eastAsia="Calibri" w:hAnsi="Book Antiqua" w:cs="Times New Roman"/>
          <w:sz w:val="20"/>
          <w:szCs w:val="20"/>
          <w:lang w:val="en-US"/>
        </w:rPr>
        <w:t>(1)</w:t>
      </w:r>
    </w:p>
    <w:p w:rsidR="00863C11" w:rsidRPr="005072AB" w:rsidRDefault="00D55763" w:rsidP="00863C11">
      <w:pPr>
        <w:spacing w:after="0" w:line="240" w:lineRule="auto"/>
        <w:jc w:val="both"/>
        <w:rPr>
          <w:rFonts w:ascii="Book Antiqua" w:eastAsia="Calibri" w:hAnsi="Book Antiqua" w:cs="Times New Roman"/>
          <w:i/>
          <w:sz w:val="20"/>
          <w:szCs w:val="20"/>
          <w:lang w:val="en-US"/>
        </w:rPr>
      </w:pPr>
      <m:oMathPara>
        <m:oMath>
          <m:nary>
            <m:naryPr>
              <m:chr m:val="∑"/>
              <m:grow m:val="1"/>
              <m:ctrlPr>
                <w:rPr>
                  <w:rFonts w:ascii="Cambria Math" w:hAnsi="Times New Roman"/>
                  <w:i/>
                  <w:sz w:val="20"/>
                  <w:szCs w:val="20"/>
                  <w:lang w:val="en-US"/>
                </w:rPr>
              </m:ctrlPr>
            </m:naryPr>
            <m:sub>
              <m:r>
                <w:rPr>
                  <w:rFonts w:ascii="Cambria Math" w:eastAsia="Cambria Math" w:hAnsi="Cambria Math"/>
                  <w:sz w:val="20"/>
                  <w:szCs w:val="20"/>
                  <w:lang w:val="en-US"/>
                </w:rPr>
                <m:t>i</m:t>
              </m:r>
              <m:r>
                <w:rPr>
                  <w:rFonts w:ascii="Cambria Math" w:eastAsia="Cambria Math" w:hAnsi="Times New Roman"/>
                  <w:sz w:val="20"/>
                  <w:szCs w:val="20"/>
                  <w:lang w:val="en-US"/>
                </w:rPr>
                <m:t>=1</m:t>
              </m:r>
            </m:sub>
            <m:sup>
              <m:r>
                <w:rPr>
                  <w:rFonts w:ascii="Cambria Math" w:eastAsia="Cambria Math" w:hAnsi="Cambria Math"/>
                  <w:sz w:val="20"/>
                  <w:szCs w:val="20"/>
                  <w:lang w:val="en-US"/>
                </w:rPr>
                <m:t>m</m:t>
              </m:r>
            </m:sup>
            <m:e>
              <m:r>
                <w:rPr>
                  <w:rFonts w:ascii="Cambria Math" w:hAnsi="Times New Roman"/>
                  <w:sz w:val="20"/>
                  <w:szCs w:val="20"/>
                  <w:lang w:val="en-US"/>
                </w:rPr>
                <m:t>UikXik</m:t>
              </m:r>
            </m:e>
          </m:nary>
        </m:oMath>
      </m:oMathPara>
    </w:p>
    <w:p w:rsidR="00863C11" w:rsidRDefault="00863C11" w:rsidP="002221B1">
      <w:pPr>
        <w:spacing w:after="0" w:line="240" w:lineRule="auto"/>
        <w:ind w:firstLine="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 xml:space="preserve">The universality criterion requires the bank to k to choose a weight with the limitation / constraint </w:t>
      </w:r>
      <w:r w:rsidR="00D46B43">
        <w:rPr>
          <w:rFonts w:ascii="Book Antiqua" w:eastAsia="Calibri" w:hAnsi="Book Antiqua" w:cs="Times New Roman"/>
          <w:sz w:val="20"/>
          <w:szCs w:val="20"/>
          <w:lang w:val="en-US"/>
        </w:rPr>
        <w:t xml:space="preserve">that no other bank will have </w:t>
      </w:r>
      <w:r w:rsidRPr="00723AE8">
        <w:rPr>
          <w:rFonts w:ascii="Book Antiqua" w:eastAsia="Calibri" w:hAnsi="Book Antiqua" w:cs="Times New Roman"/>
          <w:sz w:val="20"/>
          <w:szCs w:val="20"/>
          <w:lang w:val="en-US"/>
        </w:rPr>
        <w:t>efficiency greater than 1 or 100%. If the other bank</w:t>
      </w:r>
      <w:r w:rsidR="00D46B43">
        <w:rPr>
          <w:rFonts w:ascii="Book Antiqua" w:eastAsia="Calibri" w:hAnsi="Book Antiqua" w:cs="Times New Roman"/>
          <w:sz w:val="20"/>
          <w:szCs w:val="20"/>
          <w:lang w:val="en-US"/>
        </w:rPr>
        <w:t>s use</w:t>
      </w:r>
      <w:r w:rsidRPr="00723AE8">
        <w:rPr>
          <w:rFonts w:ascii="Book Antiqua" w:eastAsia="Calibri" w:hAnsi="Book Antiqua" w:cs="Times New Roman"/>
          <w:sz w:val="20"/>
          <w:szCs w:val="20"/>
          <w:lang w:val="en-US"/>
        </w:rPr>
        <w:t xml:space="preserve"> the wei</w:t>
      </w:r>
      <w:r w:rsidR="00D46B43">
        <w:rPr>
          <w:rFonts w:ascii="Book Antiqua" w:eastAsia="Calibri" w:hAnsi="Book Antiqua" w:cs="Times New Roman"/>
          <w:sz w:val="20"/>
          <w:szCs w:val="20"/>
          <w:lang w:val="en-US"/>
        </w:rPr>
        <w:t xml:space="preserve">ght chosen by the bank to k, </w:t>
      </w:r>
      <w:r w:rsidRPr="00723AE8">
        <w:rPr>
          <w:rFonts w:ascii="Book Antiqua" w:eastAsia="Calibri" w:hAnsi="Book Antiqua" w:cs="Times New Roman"/>
          <w:sz w:val="20"/>
          <w:szCs w:val="20"/>
          <w:lang w:val="en-US"/>
        </w:rPr>
        <w:t>the next formulation is:</w:t>
      </w:r>
    </w:p>
    <w:p w:rsidR="008F7159" w:rsidRPr="00723AE8" w:rsidRDefault="008F7159" w:rsidP="002221B1">
      <w:pPr>
        <w:spacing w:after="0" w:line="240" w:lineRule="auto"/>
        <w:ind w:firstLine="426"/>
        <w:jc w:val="both"/>
        <w:rPr>
          <w:rFonts w:ascii="Book Antiqua" w:eastAsia="Calibri" w:hAnsi="Book Antiqua" w:cs="Times New Roman"/>
          <w:sz w:val="20"/>
          <w:szCs w:val="20"/>
          <w:lang w:val="en-US"/>
        </w:rPr>
      </w:pPr>
    </w:p>
    <w:p w:rsidR="00863C11" w:rsidRPr="008F7159" w:rsidRDefault="00D55763" w:rsidP="00863C11">
      <w:pPr>
        <w:spacing w:after="0" w:line="240" w:lineRule="auto"/>
        <w:jc w:val="both"/>
        <w:rPr>
          <w:rFonts w:ascii="Book Antiqua" w:eastAsia="Calibri" w:hAnsi="Book Antiqua" w:cs="Times New Roman"/>
          <w:sz w:val="20"/>
          <w:szCs w:val="20"/>
          <w:lang w:val="en-US"/>
        </w:rPr>
      </w:pPr>
      <m:oMathPara>
        <m:oMathParaPr>
          <m:jc m:val="left"/>
        </m:oMathParaPr>
        <m:oMath>
          <m:nary>
            <m:naryPr>
              <m:chr m:val="∑"/>
              <m:grow m:val="1"/>
              <m:ctrlPr>
                <w:rPr>
                  <w:rFonts w:ascii="Cambria Math" w:hAnsi="Cambria Math"/>
                  <w:sz w:val="20"/>
                  <w:szCs w:val="20"/>
                  <w:lang w:val="en-US"/>
                </w:rPr>
              </m:ctrlPr>
            </m:naryPr>
            <m:sub>
              <m:r>
                <m:rPr>
                  <m:sty m:val="p"/>
                </m:rPr>
                <w:rPr>
                  <w:rFonts w:ascii="Cambria Math" w:eastAsia="Cambria Math" w:hAnsi="Cambria Math"/>
                  <w:sz w:val="20"/>
                  <w:szCs w:val="20"/>
                  <w:lang w:val="en-US"/>
                </w:rPr>
                <m:t>j=1</m:t>
              </m:r>
            </m:sub>
            <m:sup>
              <m:r>
                <m:rPr>
                  <m:sty m:val="p"/>
                </m:rPr>
                <w:rPr>
                  <w:rFonts w:ascii="Cambria Math" w:eastAsia="Cambria Math" w:hAnsi="Cambria Math"/>
                  <w:sz w:val="20"/>
                  <w:szCs w:val="20"/>
                  <w:lang w:val="en-US"/>
                </w:rPr>
                <m:t>n</m:t>
              </m:r>
            </m:sup>
            <m:e>
              <m:r>
                <m:rPr>
                  <m:sty m:val="p"/>
                </m:rPr>
                <w:rPr>
                  <w:rFonts w:ascii="Cambria Math" w:hAnsi="Cambria Math"/>
                  <w:sz w:val="20"/>
                  <w:szCs w:val="20"/>
                  <w:lang w:val="en-US"/>
                </w:rPr>
                <m:t>VjkYj</m:t>
              </m:r>
              <m:r>
                <m:rPr>
                  <m:sty m:val="p"/>
                </m:rPr>
                <w:rPr>
                  <w:rFonts w:ascii="Cambria Math" w:hAnsi="Cambria Math" w:cs="Cambria Math"/>
                  <w:sz w:val="20"/>
                  <w:szCs w:val="20"/>
                  <w:lang w:val="en-US"/>
                </w:rPr>
                <m:t>h</m:t>
              </m:r>
            </m:e>
          </m:nary>
        </m:oMath>
      </m:oMathPara>
    </w:p>
    <w:p w:rsidR="00863C11" w:rsidRPr="00723AE8" w:rsidRDefault="00863C11" w:rsidP="00863C11">
      <w:pPr>
        <w:spacing w:after="0" w:line="240" w:lineRule="auto"/>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____________</w:t>
      </w:r>
      <w:r w:rsidR="007531D4">
        <w:rPr>
          <w:rFonts w:ascii="Book Antiqua" w:eastAsia="Calibri" w:hAnsi="Book Antiqua" w:cs="Times New Roman"/>
          <w:sz w:val="20"/>
          <w:szCs w:val="20"/>
          <w:lang w:val="en-US"/>
        </w:rPr>
        <w:t xml:space="preserve"> ≤1 ; h = 1, ...........n</w:t>
      </w:r>
      <w:r w:rsidR="007531D4">
        <w:rPr>
          <w:rFonts w:ascii="Book Antiqua" w:eastAsia="Calibri" w:hAnsi="Book Antiqua" w:cs="Times New Roman"/>
          <w:sz w:val="20"/>
          <w:szCs w:val="20"/>
          <w:lang w:val="en-US"/>
        </w:rPr>
        <w:tab/>
      </w:r>
      <w:r w:rsidR="007531D4">
        <w:rPr>
          <w:rFonts w:ascii="Book Antiqua" w:eastAsia="Calibri" w:hAnsi="Book Antiqua" w:cs="Times New Roman"/>
          <w:sz w:val="20"/>
          <w:szCs w:val="20"/>
          <w:lang w:val="en-US"/>
        </w:rPr>
        <w:tab/>
      </w:r>
      <w:r w:rsidRPr="00723AE8">
        <w:rPr>
          <w:rFonts w:ascii="Book Antiqua" w:eastAsia="Calibri" w:hAnsi="Book Antiqua" w:cs="Times New Roman"/>
          <w:sz w:val="20"/>
          <w:szCs w:val="20"/>
          <w:lang w:val="en-US"/>
        </w:rPr>
        <w:t>(2)</w:t>
      </w:r>
    </w:p>
    <w:p w:rsidR="00863C11" w:rsidRPr="00723AE8" w:rsidRDefault="00863C11" w:rsidP="00863C11">
      <w:pPr>
        <w:spacing w:after="0" w:line="240" w:lineRule="auto"/>
        <w:jc w:val="both"/>
        <w:rPr>
          <w:rFonts w:ascii="Book Antiqua" w:eastAsia="Calibri" w:hAnsi="Book Antiqua" w:cs="Times New Roman"/>
          <w:sz w:val="20"/>
          <w:szCs w:val="20"/>
          <w:lang w:val="en-US"/>
        </w:rPr>
      </w:pPr>
    </w:p>
    <w:p w:rsidR="00863C11" w:rsidRPr="008F7159" w:rsidRDefault="00D55763" w:rsidP="00863C11">
      <w:pPr>
        <w:spacing w:after="0" w:line="240" w:lineRule="auto"/>
        <w:jc w:val="both"/>
        <w:rPr>
          <w:rFonts w:ascii="Book Antiqua" w:eastAsia="Calibri" w:hAnsi="Book Antiqua" w:cs="Times New Roman"/>
          <w:sz w:val="20"/>
          <w:szCs w:val="20"/>
          <w:lang w:val="en-US"/>
        </w:rPr>
      </w:pPr>
      <m:oMathPara>
        <m:oMathParaPr>
          <m:jc m:val="left"/>
        </m:oMathParaPr>
        <m:oMath>
          <m:nary>
            <m:naryPr>
              <m:chr m:val="∑"/>
              <m:grow m:val="1"/>
              <m:ctrlPr>
                <w:rPr>
                  <w:rFonts w:ascii="Cambria Math" w:hAnsi="Cambria Math"/>
                  <w:sz w:val="20"/>
                  <w:szCs w:val="20"/>
                  <w:lang w:val="en-US"/>
                </w:rPr>
              </m:ctrlPr>
            </m:naryPr>
            <m:sub>
              <m:r>
                <m:rPr>
                  <m:sty m:val="p"/>
                </m:rPr>
                <w:rPr>
                  <w:rFonts w:ascii="Cambria Math" w:eastAsia="Cambria Math" w:hAnsi="Cambria Math"/>
                  <w:sz w:val="20"/>
                  <w:szCs w:val="20"/>
                  <w:lang w:val="en-US"/>
                </w:rPr>
                <m:t>i=1</m:t>
              </m:r>
            </m:sub>
            <m:sup>
              <m:r>
                <m:rPr>
                  <m:sty m:val="p"/>
                </m:rPr>
                <w:rPr>
                  <w:rFonts w:ascii="Cambria Math" w:eastAsia="Cambria Math" w:hAnsi="Cambria Math"/>
                  <w:sz w:val="20"/>
                  <w:szCs w:val="20"/>
                  <w:lang w:val="en-US"/>
                </w:rPr>
                <m:t>m</m:t>
              </m:r>
            </m:sup>
            <m:e>
              <m:r>
                <m:rPr>
                  <m:sty m:val="p"/>
                </m:rPr>
                <w:rPr>
                  <w:rFonts w:ascii="Cambria Math" w:hAnsi="Cambria Math"/>
                  <w:sz w:val="20"/>
                  <w:szCs w:val="20"/>
                  <w:lang w:val="en-US"/>
                </w:rPr>
                <m:t>UikXi</m:t>
              </m:r>
              <m:r>
                <m:rPr>
                  <m:sty m:val="p"/>
                </m:rPr>
                <w:rPr>
                  <w:rFonts w:ascii="Cambria Math" w:hAnsi="Cambria Math" w:cs="Cambria Math"/>
                  <w:sz w:val="20"/>
                  <w:szCs w:val="20"/>
                  <w:lang w:val="en-US"/>
                </w:rPr>
                <m:t>h</m:t>
              </m:r>
            </m:e>
          </m:nary>
        </m:oMath>
      </m:oMathPara>
    </w:p>
    <w:p w:rsidR="00863C11" w:rsidRPr="00723AE8" w:rsidRDefault="00863C11" w:rsidP="00863C11">
      <w:pPr>
        <w:spacing w:after="0" w:line="240" w:lineRule="auto"/>
        <w:jc w:val="both"/>
        <w:rPr>
          <w:rFonts w:ascii="Book Antiqua" w:eastAsia="Calibri" w:hAnsi="Book Antiqua" w:cs="Times New Roman"/>
          <w:sz w:val="20"/>
          <w:szCs w:val="20"/>
          <w:lang w:val="en-US"/>
        </w:rPr>
      </w:pPr>
    </w:p>
    <w:p w:rsidR="00863C11" w:rsidRPr="00723AE8" w:rsidRDefault="00863C11" w:rsidP="002221B1">
      <w:pPr>
        <w:spacing w:after="0" w:line="240" w:lineRule="auto"/>
        <w:ind w:left="720" w:hanging="294"/>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The selected weight may not be in negative value:</w:t>
      </w:r>
    </w:p>
    <w:p w:rsidR="00863C11" w:rsidRPr="00723AE8" w:rsidRDefault="007531D4" w:rsidP="007531D4">
      <w:pPr>
        <w:spacing w:after="0" w:line="240" w:lineRule="auto"/>
        <w:jc w:val="both"/>
        <w:rPr>
          <w:rFonts w:ascii="Book Antiqua" w:eastAsia="Calibri" w:hAnsi="Book Antiqua" w:cs="Times New Roman"/>
          <w:sz w:val="20"/>
          <w:szCs w:val="20"/>
          <w:lang w:val="en-US"/>
        </w:rPr>
      </w:pPr>
      <w:r>
        <w:rPr>
          <w:rFonts w:ascii="Book Antiqua" w:eastAsia="Calibri" w:hAnsi="Book Antiqua" w:cs="Times New Roman"/>
          <w:sz w:val="20"/>
          <w:szCs w:val="20"/>
          <w:lang w:val="en-US"/>
        </w:rPr>
        <w:t>Vjk  ≥ 0 ; j = 1,………s</w:t>
      </w:r>
      <w:r>
        <w:rPr>
          <w:rFonts w:ascii="Book Antiqua" w:eastAsia="Calibri" w:hAnsi="Book Antiqua" w:cs="Times New Roman"/>
          <w:sz w:val="20"/>
          <w:szCs w:val="20"/>
          <w:lang w:val="en-US"/>
        </w:rPr>
        <w:tab/>
      </w:r>
      <w:r>
        <w:rPr>
          <w:rFonts w:ascii="Book Antiqua" w:eastAsia="Calibri" w:hAnsi="Book Antiqua" w:cs="Times New Roman"/>
          <w:sz w:val="20"/>
          <w:szCs w:val="20"/>
          <w:lang w:val="en-US"/>
        </w:rPr>
        <w:tab/>
      </w:r>
      <w:r>
        <w:rPr>
          <w:rFonts w:ascii="Book Antiqua" w:eastAsia="Calibri" w:hAnsi="Book Antiqua" w:cs="Times New Roman"/>
          <w:sz w:val="20"/>
          <w:szCs w:val="20"/>
          <w:lang w:val="en-US"/>
        </w:rPr>
        <w:tab/>
      </w:r>
      <w:r w:rsidR="00863C11" w:rsidRPr="00723AE8">
        <w:rPr>
          <w:rFonts w:ascii="Book Antiqua" w:eastAsia="Calibri" w:hAnsi="Book Antiqua" w:cs="Times New Roman"/>
          <w:sz w:val="20"/>
          <w:szCs w:val="20"/>
          <w:lang w:val="en-US"/>
        </w:rPr>
        <w:t xml:space="preserve"> (3)</w:t>
      </w:r>
    </w:p>
    <w:p w:rsidR="00863C11" w:rsidRPr="00723AE8" w:rsidRDefault="007531D4" w:rsidP="007531D4">
      <w:pPr>
        <w:spacing w:after="0" w:line="240" w:lineRule="auto"/>
        <w:jc w:val="both"/>
        <w:rPr>
          <w:rFonts w:ascii="Book Antiqua" w:eastAsia="Calibri" w:hAnsi="Book Antiqua" w:cs="Times New Roman"/>
          <w:sz w:val="20"/>
          <w:szCs w:val="20"/>
          <w:lang w:val="en-US"/>
        </w:rPr>
      </w:pPr>
      <w:r>
        <w:rPr>
          <w:rFonts w:ascii="Book Antiqua" w:eastAsia="Calibri" w:hAnsi="Book Antiqua" w:cs="Times New Roman"/>
          <w:sz w:val="20"/>
          <w:szCs w:val="20"/>
          <w:lang w:val="en-US"/>
        </w:rPr>
        <w:t>Uik  ≥ 0 ; i = 1,………m</w:t>
      </w:r>
      <w:r>
        <w:rPr>
          <w:rFonts w:ascii="Book Antiqua" w:eastAsia="Calibri" w:hAnsi="Book Antiqua" w:cs="Times New Roman"/>
          <w:sz w:val="20"/>
          <w:szCs w:val="20"/>
          <w:lang w:val="en-US"/>
        </w:rPr>
        <w:tab/>
      </w:r>
      <w:r>
        <w:rPr>
          <w:rFonts w:ascii="Book Antiqua" w:eastAsia="Calibri" w:hAnsi="Book Antiqua" w:cs="Times New Roman"/>
          <w:sz w:val="20"/>
          <w:szCs w:val="20"/>
          <w:lang w:val="en-US"/>
        </w:rPr>
        <w:tab/>
      </w:r>
      <w:r>
        <w:rPr>
          <w:rFonts w:ascii="Book Antiqua" w:eastAsia="Calibri" w:hAnsi="Book Antiqua" w:cs="Times New Roman"/>
          <w:sz w:val="20"/>
          <w:szCs w:val="20"/>
          <w:lang w:val="en-US"/>
        </w:rPr>
        <w:tab/>
      </w:r>
      <w:r w:rsidR="00863C11" w:rsidRPr="00723AE8">
        <w:rPr>
          <w:rFonts w:ascii="Book Antiqua" w:eastAsia="Calibri" w:hAnsi="Book Antiqua" w:cs="Times New Roman"/>
          <w:sz w:val="20"/>
          <w:szCs w:val="20"/>
          <w:lang w:val="en-US"/>
        </w:rPr>
        <w:t xml:space="preserve"> (4)</w:t>
      </w:r>
    </w:p>
    <w:p w:rsidR="002221B1" w:rsidRPr="00723AE8" w:rsidRDefault="002221B1" w:rsidP="00863C11">
      <w:pPr>
        <w:spacing w:after="0" w:line="240" w:lineRule="auto"/>
        <w:jc w:val="both"/>
        <w:rPr>
          <w:rFonts w:ascii="Book Antiqua" w:eastAsia="Calibri" w:hAnsi="Book Antiqua" w:cs="Times New Roman"/>
          <w:sz w:val="20"/>
          <w:szCs w:val="20"/>
          <w:lang w:val="en-US"/>
        </w:rPr>
      </w:pPr>
    </w:p>
    <w:p w:rsidR="00863C11" w:rsidRPr="00723AE8" w:rsidRDefault="00863C11" w:rsidP="002221B1">
      <w:pPr>
        <w:spacing w:after="0" w:line="240" w:lineRule="auto"/>
        <w:ind w:firstLine="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The fractional linear program is then transformed</w:t>
      </w:r>
      <w:r w:rsidR="00A0356C">
        <w:rPr>
          <w:rFonts w:ascii="Book Antiqua" w:eastAsia="Calibri" w:hAnsi="Book Antiqua" w:cs="Times New Roman"/>
          <w:sz w:val="20"/>
          <w:szCs w:val="20"/>
          <w:lang w:val="en-US"/>
        </w:rPr>
        <w:t xml:space="preserve"> into a linear program with DEA</w:t>
      </w:r>
      <w:r w:rsidRPr="00723AE8">
        <w:rPr>
          <w:rFonts w:ascii="Book Antiqua" w:eastAsia="Calibri" w:hAnsi="Book Antiqua" w:cs="Times New Roman"/>
          <w:sz w:val="20"/>
          <w:szCs w:val="20"/>
          <w:lang w:val="en-US"/>
        </w:rPr>
        <w:t xml:space="preserve"> as follows:</w:t>
      </w:r>
      <w:r w:rsidRPr="00723AE8">
        <w:rPr>
          <w:rFonts w:ascii="Book Antiqua" w:eastAsia="Calibri" w:hAnsi="Book Antiqua" w:cs="Times New Roman"/>
          <w:sz w:val="20"/>
          <w:szCs w:val="20"/>
          <w:lang w:val="en-US"/>
        </w:rPr>
        <w:tab/>
      </w:r>
      <w:r w:rsidRPr="00723AE8">
        <w:rPr>
          <w:rFonts w:ascii="Book Antiqua" w:eastAsia="Calibri" w:hAnsi="Book Antiqua" w:cs="Times New Roman"/>
          <w:sz w:val="20"/>
          <w:szCs w:val="20"/>
          <w:lang w:val="en-US"/>
        </w:rPr>
        <w:tab/>
      </w:r>
      <w:r w:rsidRPr="00723AE8">
        <w:rPr>
          <w:rFonts w:ascii="Book Antiqua" w:eastAsia="Calibri" w:hAnsi="Book Antiqua" w:cs="Times New Roman"/>
          <w:sz w:val="20"/>
          <w:szCs w:val="20"/>
          <w:lang w:val="en-US"/>
        </w:rPr>
        <w:tab/>
      </w:r>
      <w:r w:rsidRPr="00723AE8">
        <w:rPr>
          <w:rFonts w:ascii="Book Antiqua" w:eastAsia="Calibri" w:hAnsi="Book Antiqua" w:cs="Times New Roman"/>
          <w:sz w:val="20"/>
          <w:szCs w:val="20"/>
          <w:lang w:val="en-US"/>
        </w:rPr>
        <w:tab/>
      </w:r>
      <w:r w:rsidRPr="00723AE8">
        <w:rPr>
          <w:rFonts w:ascii="Book Antiqua" w:eastAsia="Calibri" w:hAnsi="Book Antiqua" w:cs="Times New Roman"/>
          <w:sz w:val="20"/>
          <w:szCs w:val="20"/>
          <w:lang w:val="en-US"/>
        </w:rPr>
        <w:tab/>
      </w:r>
      <w:r w:rsidRPr="00723AE8">
        <w:rPr>
          <w:rFonts w:ascii="Book Antiqua" w:eastAsia="Calibri" w:hAnsi="Book Antiqua" w:cs="Times New Roman"/>
          <w:sz w:val="20"/>
          <w:szCs w:val="20"/>
          <w:lang w:val="en-US"/>
        </w:rPr>
        <w:tab/>
      </w:r>
    </w:p>
    <w:p w:rsidR="00863C11" w:rsidRPr="008F7159" w:rsidRDefault="008F7159" w:rsidP="00863C11">
      <w:pPr>
        <w:spacing w:after="0" w:line="240" w:lineRule="auto"/>
        <w:jc w:val="both"/>
        <w:rPr>
          <w:rFonts w:ascii="Book Antiqua" w:eastAsia="Calibri" w:hAnsi="Book Antiqua" w:cs="Times New Roman"/>
          <w:sz w:val="20"/>
          <w:szCs w:val="20"/>
          <w:lang w:val="en-US"/>
        </w:rPr>
      </w:pPr>
      <m:oMathPara>
        <m:oMath>
          <m:r>
            <m:rPr>
              <m:sty m:val="p"/>
            </m:rPr>
            <w:rPr>
              <w:rFonts w:ascii="Cambria Math" w:eastAsia="Cambria Math" w:hAnsi="Cambria Math"/>
              <w:sz w:val="20"/>
              <w:szCs w:val="20"/>
              <w:lang w:val="en-US"/>
            </w:rPr>
            <m:t>Maximum Zk=</m:t>
          </m:r>
          <m:nary>
            <m:naryPr>
              <m:chr m:val="∑"/>
              <m:grow m:val="1"/>
              <m:ctrlPr>
                <w:rPr>
                  <w:rFonts w:ascii="Cambria Math" w:hAnsi="Cambria Math"/>
                  <w:sz w:val="20"/>
                  <w:szCs w:val="20"/>
                  <w:lang w:val="en-US"/>
                </w:rPr>
              </m:ctrlPr>
            </m:naryPr>
            <m:sub>
              <m:r>
                <m:rPr>
                  <m:sty m:val="p"/>
                </m:rPr>
                <w:rPr>
                  <w:rFonts w:ascii="Cambria Math" w:eastAsia="Cambria Math" w:hAnsi="Cambria Math"/>
                  <w:sz w:val="20"/>
                  <w:szCs w:val="20"/>
                  <w:lang w:val="en-US"/>
                </w:rPr>
                <m:t>j=1</m:t>
              </m:r>
            </m:sub>
            <m:sup>
              <m:r>
                <m:rPr>
                  <m:sty m:val="p"/>
                </m:rPr>
                <w:rPr>
                  <w:rFonts w:ascii="Cambria Math" w:eastAsia="Cambria Math" w:hAnsi="Cambria Math"/>
                  <w:sz w:val="20"/>
                  <w:szCs w:val="20"/>
                  <w:lang w:val="en-US"/>
                </w:rPr>
                <m:t>n</m:t>
              </m:r>
            </m:sup>
            <m:e>
              <m:r>
                <m:rPr>
                  <m:sty m:val="p"/>
                </m:rPr>
                <w:rPr>
                  <w:rFonts w:ascii="Cambria Math" w:hAnsi="Cambria Math"/>
                  <w:sz w:val="20"/>
                  <w:szCs w:val="20"/>
                  <w:lang w:val="en-US"/>
                </w:rPr>
                <m:t>VjkYjk</m:t>
              </m:r>
            </m:e>
          </m:nary>
          <m:r>
            <m:rPr>
              <m:sty m:val="p"/>
            </m:rPr>
            <w:rPr>
              <w:rFonts w:ascii="Cambria Math" w:hAnsi="Cambria Math"/>
              <w:sz w:val="20"/>
              <w:szCs w:val="20"/>
              <w:lang w:val="en-US"/>
            </w:rPr>
            <m:t xml:space="preserve">                      (5)</m:t>
          </m:r>
        </m:oMath>
      </m:oMathPara>
    </w:p>
    <w:p w:rsidR="00863C11" w:rsidRPr="00723AE8" w:rsidRDefault="00863C11" w:rsidP="00863C11">
      <w:pPr>
        <w:spacing w:after="0" w:line="240" w:lineRule="auto"/>
        <w:ind w:left="720" w:hanging="720"/>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 xml:space="preserve">With limitations / constraints: </w:t>
      </w:r>
    </w:p>
    <w:p w:rsidR="00863C11" w:rsidRPr="008F7159" w:rsidRDefault="00863C11" w:rsidP="007531D4">
      <w:pPr>
        <w:spacing w:after="0" w:line="240" w:lineRule="auto"/>
        <w:jc w:val="both"/>
        <w:rPr>
          <w:rFonts w:ascii="Book Antiqua" w:eastAsia="Calibri" w:hAnsi="Book Antiqua" w:cs="Times New Roman"/>
          <w:sz w:val="20"/>
          <w:szCs w:val="20"/>
          <w:lang w:val="en-US"/>
        </w:rPr>
      </w:pPr>
      <m:oMathPara>
        <m:oMathParaPr>
          <m:jc m:val="left"/>
        </m:oMathParaPr>
        <m:oMath>
          <m:r>
            <m:rPr>
              <m:sty m:val="p"/>
            </m:rPr>
            <w:rPr>
              <w:rFonts w:ascii="Cambria Math" w:hAnsi="Cambria Math"/>
              <w:sz w:val="20"/>
              <w:szCs w:val="20"/>
              <w:lang w:val="en-US"/>
            </w:rPr>
            <m:t xml:space="preserve">a. </m:t>
          </m:r>
          <m:nary>
            <m:naryPr>
              <m:chr m:val="∑"/>
              <m:grow m:val="1"/>
              <m:ctrlPr>
                <w:rPr>
                  <w:rFonts w:ascii="Cambria Math" w:hAnsi="Cambria Math"/>
                  <w:sz w:val="20"/>
                  <w:szCs w:val="20"/>
                  <w:lang w:val="en-US"/>
                </w:rPr>
              </m:ctrlPr>
            </m:naryPr>
            <m:sub>
              <m:r>
                <w:rPr>
                  <w:rFonts w:ascii="Cambria Math" w:eastAsia="Cambria Math" w:hAnsi="Cambria Math" w:cs="Cambria Math"/>
                  <w:sz w:val="20"/>
                  <w:szCs w:val="20"/>
                  <w:lang w:val="en-US"/>
                </w:rPr>
                <m:t>i=1</m:t>
              </m:r>
            </m:sub>
            <m:sup>
              <m:r>
                <w:rPr>
                  <w:rFonts w:ascii="Cambria Math" w:eastAsia="Cambria Math" w:hAnsi="Cambria Math" w:cs="Cambria Math"/>
                  <w:sz w:val="20"/>
                  <w:szCs w:val="20"/>
                  <w:lang w:val="en-US"/>
                </w:rPr>
                <m:t>m</m:t>
              </m:r>
            </m:sup>
            <m:e>
              <m:r>
                <m:rPr>
                  <m:sty m:val="p"/>
                </m:rPr>
                <w:rPr>
                  <w:rFonts w:ascii="Cambria Math" w:hAnsi="Cambria Math"/>
                  <w:sz w:val="20"/>
                  <w:szCs w:val="20"/>
                  <w:lang w:val="en-US"/>
                </w:rPr>
                <m:t>Uik Xik=1</m:t>
              </m:r>
            </m:e>
          </m:nary>
          <m:r>
            <m:rPr>
              <m:sty m:val="p"/>
            </m:rPr>
            <w:rPr>
              <w:rFonts w:ascii="Cambria Math" w:hAnsi="Cambria Math"/>
              <w:sz w:val="20"/>
              <w:szCs w:val="20"/>
              <w:lang w:val="en-US"/>
            </w:rPr>
            <m:t xml:space="preserve">                  (6)</m:t>
          </m:r>
        </m:oMath>
      </m:oMathPara>
    </w:p>
    <w:p w:rsidR="00863C11" w:rsidRPr="008F7159" w:rsidRDefault="00863C11" w:rsidP="007531D4">
      <w:pPr>
        <w:spacing w:after="0" w:line="240" w:lineRule="auto"/>
        <w:jc w:val="both"/>
        <w:rPr>
          <w:rFonts w:ascii="Book Antiqua" w:eastAsia="Calibri" w:hAnsi="Book Antiqua" w:cs="Times New Roman"/>
          <w:sz w:val="20"/>
          <w:szCs w:val="20"/>
          <w:lang w:val="en-US"/>
        </w:rPr>
      </w:pPr>
      <m:oMathPara>
        <m:oMathParaPr>
          <m:jc m:val="left"/>
        </m:oMathParaPr>
        <m:oMath>
          <m:r>
            <m:rPr>
              <m:sty m:val="p"/>
            </m:rPr>
            <w:rPr>
              <w:rFonts w:ascii="Cambria Math" w:hAnsi="Cambria Math"/>
              <w:sz w:val="20"/>
              <w:szCs w:val="20"/>
              <w:lang w:val="en-US"/>
            </w:rPr>
            <m:t xml:space="preserve">b. </m:t>
          </m:r>
          <m:nary>
            <m:naryPr>
              <m:chr m:val="∑"/>
              <m:grow m:val="1"/>
              <m:ctrlPr>
                <w:rPr>
                  <w:rFonts w:ascii="Cambria Math" w:hAnsi="Cambria Math"/>
                  <w:sz w:val="20"/>
                  <w:szCs w:val="20"/>
                  <w:lang w:val="en-US"/>
                </w:rPr>
              </m:ctrlPr>
            </m:naryPr>
            <m:sub>
              <m:r>
                <w:rPr>
                  <w:rFonts w:ascii="Cambria Math" w:eastAsia="Cambria Math" w:hAnsi="Cambria Math" w:cs="Cambria Math"/>
                  <w:sz w:val="20"/>
                  <w:szCs w:val="20"/>
                  <w:lang w:val="en-US"/>
                </w:rPr>
                <m:t>j=1</m:t>
              </m:r>
            </m:sub>
            <m:sup>
              <m:r>
                <w:rPr>
                  <w:rFonts w:ascii="Cambria Math" w:eastAsia="Cambria Math" w:hAnsi="Cambria Math" w:cs="Cambria Math"/>
                  <w:sz w:val="20"/>
                  <w:szCs w:val="20"/>
                  <w:lang w:val="en-US"/>
                </w:rPr>
                <m:t>n</m:t>
              </m:r>
            </m:sup>
            <m:e>
              <m:r>
                <m:rPr>
                  <m:sty m:val="p"/>
                </m:rPr>
                <w:rPr>
                  <w:rFonts w:ascii="Cambria Math" w:hAnsi="Cambria Math"/>
                  <w:sz w:val="20"/>
                  <w:szCs w:val="20"/>
                  <w:lang w:val="en-US"/>
                </w:rPr>
                <m:t>Vjk Yjk=1</m:t>
              </m:r>
            </m:e>
          </m:nary>
          <m:r>
            <m:rPr>
              <m:sty m:val="p"/>
            </m:rPr>
            <w:rPr>
              <w:rFonts w:ascii="Cambria Math" w:hAnsi="Cambria Math"/>
              <w:sz w:val="20"/>
              <w:szCs w:val="20"/>
              <w:lang w:val="en-US"/>
            </w:rPr>
            <m:t xml:space="preserve">- </m:t>
          </m:r>
          <m:nary>
            <m:naryPr>
              <m:chr m:val="∑"/>
              <m:grow m:val="1"/>
              <m:ctrlPr>
                <w:rPr>
                  <w:rFonts w:ascii="Cambria Math" w:hAnsi="Cambria Math"/>
                  <w:sz w:val="20"/>
                  <w:szCs w:val="20"/>
                  <w:lang w:val="en-US"/>
                </w:rPr>
              </m:ctrlPr>
            </m:naryPr>
            <m:sub>
              <m:r>
                <w:rPr>
                  <w:rFonts w:ascii="Cambria Math" w:eastAsia="Cambria Math" w:hAnsi="Cambria Math" w:cs="Cambria Math"/>
                  <w:sz w:val="20"/>
                  <w:szCs w:val="20"/>
                  <w:lang w:val="en-US"/>
                </w:rPr>
                <m:t>i=1</m:t>
              </m:r>
            </m:sub>
            <m:sup>
              <m:r>
                <w:rPr>
                  <w:rFonts w:ascii="Cambria Math" w:eastAsia="Cambria Math" w:hAnsi="Cambria Math" w:cs="Cambria Math"/>
                  <w:sz w:val="20"/>
                  <w:szCs w:val="20"/>
                  <w:lang w:val="en-US"/>
                </w:rPr>
                <m:t>m</m:t>
              </m:r>
            </m:sup>
            <m:e>
              <m:r>
                <m:rPr>
                  <m:sty m:val="p"/>
                </m:rPr>
                <w:rPr>
                  <w:rFonts w:ascii="Cambria Math" w:hAnsi="Cambria Math"/>
                  <w:sz w:val="20"/>
                  <w:szCs w:val="20"/>
                  <w:lang w:val="en-US"/>
                </w:rPr>
                <m:t xml:space="preserve">Uik Xik ≤0 ;k=1,  </m:t>
              </m:r>
            </m:e>
          </m:nary>
          <m:r>
            <m:rPr>
              <m:sty m:val="p"/>
            </m:rPr>
            <w:rPr>
              <w:rFonts w:ascii="Cambria Math" w:hAnsi="Cambria Math"/>
              <w:sz w:val="20"/>
              <w:szCs w:val="20"/>
              <w:lang w:val="en-US"/>
            </w:rPr>
            <m:t>…n  (7)</m:t>
          </m:r>
        </m:oMath>
      </m:oMathPara>
    </w:p>
    <w:p w:rsidR="00863C11" w:rsidRPr="00723AE8" w:rsidRDefault="00863C11" w:rsidP="007531D4">
      <w:pPr>
        <w:spacing w:after="0" w:line="240" w:lineRule="auto"/>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lastRenderedPageBreak/>
        <w:t xml:space="preserve">c. Uik ≥ 0,  i = 1,2, ……., m,            </w:t>
      </w:r>
      <w:r w:rsidR="007531D4">
        <w:rPr>
          <w:rFonts w:ascii="Book Antiqua" w:eastAsia="Calibri" w:hAnsi="Book Antiqua" w:cs="Times New Roman"/>
          <w:sz w:val="20"/>
          <w:szCs w:val="20"/>
          <w:lang w:val="en-US"/>
        </w:rPr>
        <w:t xml:space="preserve">      </w:t>
      </w:r>
      <w:r w:rsidRPr="00723AE8">
        <w:rPr>
          <w:rFonts w:ascii="Book Antiqua" w:eastAsia="Calibri" w:hAnsi="Book Antiqua" w:cs="Times New Roman"/>
          <w:sz w:val="20"/>
          <w:szCs w:val="20"/>
          <w:lang w:val="en-US"/>
        </w:rPr>
        <w:t xml:space="preserve">(8)     </w:t>
      </w:r>
    </w:p>
    <w:p w:rsidR="00863C11" w:rsidRPr="00723AE8" w:rsidRDefault="00863C11" w:rsidP="007531D4">
      <w:pPr>
        <w:spacing w:after="0" w:line="240" w:lineRule="auto"/>
        <w:contextualSpacing/>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 xml:space="preserve">d. Vjk ≥ 0,  j = 1,2, ……., n,             </w:t>
      </w:r>
      <w:r w:rsidR="007531D4">
        <w:rPr>
          <w:rFonts w:ascii="Book Antiqua" w:eastAsia="Calibri" w:hAnsi="Book Antiqua" w:cs="Times New Roman"/>
          <w:sz w:val="20"/>
          <w:szCs w:val="20"/>
          <w:lang w:val="en-US"/>
        </w:rPr>
        <w:t xml:space="preserve">       </w:t>
      </w:r>
      <w:r w:rsidRPr="00723AE8">
        <w:rPr>
          <w:rFonts w:ascii="Book Antiqua" w:eastAsia="Calibri" w:hAnsi="Book Antiqua" w:cs="Times New Roman"/>
          <w:sz w:val="20"/>
          <w:szCs w:val="20"/>
          <w:lang w:val="en-US"/>
        </w:rPr>
        <w:t>(9)</w:t>
      </w:r>
    </w:p>
    <w:p w:rsidR="002221B1" w:rsidRPr="00723AE8" w:rsidRDefault="002221B1" w:rsidP="002221B1">
      <w:pPr>
        <w:spacing w:after="0" w:line="240" w:lineRule="auto"/>
        <w:ind w:firstLine="426"/>
        <w:jc w:val="both"/>
        <w:rPr>
          <w:rFonts w:ascii="Book Antiqua" w:eastAsia="Calibri" w:hAnsi="Book Antiqua" w:cs="Times New Roman"/>
          <w:color w:val="000000"/>
          <w:sz w:val="20"/>
          <w:szCs w:val="20"/>
          <w:lang w:val="en-US"/>
        </w:rPr>
      </w:pPr>
    </w:p>
    <w:p w:rsidR="00863C11" w:rsidRPr="00723AE8" w:rsidRDefault="00863C11" w:rsidP="002221B1">
      <w:pPr>
        <w:spacing w:after="0" w:line="240" w:lineRule="auto"/>
        <w:ind w:firstLine="426"/>
        <w:jc w:val="both"/>
        <w:rPr>
          <w:rFonts w:ascii="Book Antiqua" w:eastAsia="Calibri" w:hAnsi="Book Antiqua" w:cs="Times New Roman"/>
          <w:color w:val="000000"/>
          <w:sz w:val="20"/>
          <w:szCs w:val="20"/>
          <w:lang w:val="en-US"/>
        </w:rPr>
      </w:pPr>
      <w:r w:rsidRPr="00723AE8">
        <w:rPr>
          <w:rFonts w:ascii="Book Antiqua" w:eastAsia="Calibri" w:hAnsi="Book Antiqua" w:cs="Times New Roman"/>
          <w:color w:val="000000"/>
          <w:sz w:val="20"/>
          <w:szCs w:val="20"/>
          <w:lang w:val="en-US"/>
        </w:rPr>
        <w:t>Cook and Zhu, 2014 developed the DEA model with two stages, that is, analyzing the efficiency of a DMU through two stages: the output from the first stage to the input to the second stage.</w:t>
      </w:r>
    </w:p>
    <w:p w:rsidR="00863C11" w:rsidRPr="00723AE8" w:rsidRDefault="00863C11" w:rsidP="00863C11">
      <w:pPr>
        <w:spacing w:after="0" w:line="240" w:lineRule="auto"/>
        <w:jc w:val="both"/>
        <w:rPr>
          <w:rFonts w:ascii="Book Antiqua" w:eastAsia="Calibri" w:hAnsi="Book Antiqua" w:cs="Times New Roman"/>
          <w:color w:val="000000"/>
          <w:sz w:val="20"/>
          <w:szCs w:val="20"/>
          <w:lang w:val="en-US"/>
        </w:rPr>
      </w:pPr>
      <w:r w:rsidRPr="00723AE8">
        <w:rPr>
          <w:rFonts w:ascii="Book Antiqua" w:eastAsia="Calibri" w:hAnsi="Book Antiqua" w:cs="Times New Roman"/>
          <w:noProof/>
          <w:color w:val="000000"/>
          <w:sz w:val="20"/>
          <w:szCs w:val="20"/>
          <w:lang w:val="en-US"/>
        </w:rPr>
        <w:drawing>
          <wp:inline distT="0" distB="0" distL="0" distR="0" wp14:anchorId="5D7EE4E6" wp14:editId="68203919">
            <wp:extent cx="2524125" cy="981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1948" t="65852" r="7028" b="6010"/>
                    <a:stretch>
                      <a:fillRect/>
                    </a:stretch>
                  </pic:blipFill>
                  <pic:spPr bwMode="auto">
                    <a:xfrm>
                      <a:off x="0" y="0"/>
                      <a:ext cx="2524125" cy="981075"/>
                    </a:xfrm>
                    <a:prstGeom prst="rect">
                      <a:avLst/>
                    </a:prstGeom>
                    <a:noFill/>
                    <a:ln>
                      <a:noFill/>
                    </a:ln>
                  </pic:spPr>
                </pic:pic>
              </a:graphicData>
            </a:graphic>
          </wp:inline>
        </w:drawing>
      </w:r>
    </w:p>
    <w:p w:rsidR="002221B1" w:rsidRPr="00723AE8" w:rsidRDefault="002221B1" w:rsidP="00863C11">
      <w:pPr>
        <w:autoSpaceDE w:val="0"/>
        <w:autoSpaceDN w:val="0"/>
        <w:adjustRightInd w:val="0"/>
        <w:spacing w:after="0" w:line="240" w:lineRule="auto"/>
        <w:jc w:val="both"/>
        <w:rPr>
          <w:rFonts w:ascii="Book Antiqua" w:eastAsia="Calibri" w:hAnsi="Book Antiqua" w:cs="Times New Roman"/>
          <w:color w:val="000000"/>
          <w:sz w:val="20"/>
          <w:szCs w:val="20"/>
          <w:lang w:val="en-US"/>
        </w:rPr>
      </w:pPr>
    </w:p>
    <w:p w:rsidR="00863C11" w:rsidRPr="00723AE8" w:rsidRDefault="00A0356C" w:rsidP="002221B1">
      <w:pPr>
        <w:autoSpaceDE w:val="0"/>
        <w:autoSpaceDN w:val="0"/>
        <w:adjustRightInd w:val="0"/>
        <w:spacing w:after="0" w:line="240" w:lineRule="auto"/>
        <w:ind w:firstLine="426"/>
        <w:jc w:val="both"/>
        <w:rPr>
          <w:rFonts w:ascii="Book Antiqua" w:eastAsia="Calibri" w:hAnsi="Book Antiqua" w:cs="Times New Roman"/>
          <w:color w:val="000000"/>
          <w:sz w:val="20"/>
          <w:szCs w:val="20"/>
          <w:lang w:val="en-US"/>
        </w:rPr>
      </w:pPr>
      <w:r>
        <w:rPr>
          <w:rFonts w:ascii="Book Antiqua" w:eastAsia="Calibri" w:hAnsi="Book Antiqua" w:cs="Times New Roman"/>
          <w:color w:val="000000"/>
          <w:sz w:val="20"/>
          <w:szCs w:val="20"/>
          <w:lang w:val="en-US"/>
        </w:rPr>
        <w:t>Based on Fig. 1.1</w:t>
      </w:r>
      <w:r>
        <w:rPr>
          <w:rFonts w:ascii="Book Antiqua" w:eastAsia="Calibri" w:hAnsi="Book Antiqua" w:cs="Times New Roman"/>
          <w:color w:val="000000"/>
          <w:sz w:val="20"/>
          <w:szCs w:val="20"/>
        </w:rPr>
        <w:t>,</w:t>
      </w:r>
      <w:r w:rsidR="00863C11" w:rsidRPr="00723AE8">
        <w:rPr>
          <w:rFonts w:ascii="Book Antiqua" w:eastAsia="Calibri" w:hAnsi="Book Antiqua" w:cs="Times New Roman"/>
          <w:color w:val="000000"/>
          <w:sz w:val="20"/>
          <w:szCs w:val="20"/>
          <w:lang w:val="en-US"/>
        </w:rPr>
        <w:t xml:space="preserve"> Cook and Zhu (2014) assumed that each DMUj (j ¼ 1, 2, ..., n) has m inputs xij, (i ¼ 1, 2, ..., m) at stage 1, and D is outputs zdj, (d ¼ 1, 2, ..., d). Then output D becomes input at stage 2 and will become a further measure. Outputs from stage 2 are yrj, (r ¼ 1, 2, ..., s). The efficiency of stage 1 is given notation e1j and stage 2 is given notation e2j. By using Constant Returns to Scale (CRS), the efficiency at stages 1 and 2 is obtained as follows:</w:t>
      </w:r>
    </w:p>
    <w:p w:rsidR="00863C11" w:rsidRPr="00723AE8" w:rsidRDefault="00863C11" w:rsidP="00863C11">
      <w:pPr>
        <w:autoSpaceDE w:val="0"/>
        <w:autoSpaceDN w:val="0"/>
        <w:adjustRightInd w:val="0"/>
        <w:spacing w:after="0" w:line="240" w:lineRule="auto"/>
        <w:jc w:val="both"/>
        <w:rPr>
          <w:rFonts w:ascii="Book Antiqua" w:eastAsia="Calibri" w:hAnsi="Book Antiqua" w:cs="Times New Roman"/>
          <w:color w:val="000000"/>
          <w:sz w:val="20"/>
          <w:szCs w:val="20"/>
          <w:lang w:val="en-US"/>
        </w:rPr>
      </w:pPr>
    </w:p>
    <w:p w:rsidR="00863C11" w:rsidRPr="00723AE8" w:rsidRDefault="00863C11" w:rsidP="00863C11">
      <w:pPr>
        <w:autoSpaceDE w:val="0"/>
        <w:autoSpaceDN w:val="0"/>
        <w:adjustRightInd w:val="0"/>
        <w:spacing w:after="0" w:line="240" w:lineRule="auto"/>
        <w:jc w:val="both"/>
        <w:rPr>
          <w:rFonts w:ascii="Book Antiqua" w:eastAsia="Calibri" w:hAnsi="Book Antiqua" w:cs="Times New Roman"/>
          <w:color w:val="000000"/>
          <w:sz w:val="20"/>
          <w:szCs w:val="20"/>
          <w:lang w:val="en-US"/>
        </w:rPr>
      </w:pPr>
      <w:r w:rsidRPr="00723AE8">
        <w:rPr>
          <w:rFonts w:ascii="Book Antiqua" w:eastAsia="Calibri" w:hAnsi="Book Antiqua" w:cs="Times New Roman"/>
          <w:noProof/>
          <w:color w:val="000000"/>
          <w:sz w:val="20"/>
          <w:szCs w:val="20"/>
          <w:lang w:val="en-US"/>
        </w:rPr>
        <w:drawing>
          <wp:inline distT="0" distB="0" distL="0" distR="0" wp14:anchorId="373B635A" wp14:editId="7C5F436A">
            <wp:extent cx="252412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l="31969" t="51775" r="18364" b="27655"/>
                    <a:stretch>
                      <a:fillRect/>
                    </a:stretch>
                  </pic:blipFill>
                  <pic:spPr bwMode="auto">
                    <a:xfrm>
                      <a:off x="0" y="0"/>
                      <a:ext cx="2524125" cy="828675"/>
                    </a:xfrm>
                    <a:prstGeom prst="rect">
                      <a:avLst/>
                    </a:prstGeom>
                    <a:noFill/>
                    <a:ln>
                      <a:noFill/>
                    </a:ln>
                  </pic:spPr>
                </pic:pic>
              </a:graphicData>
            </a:graphic>
          </wp:inline>
        </w:drawing>
      </w:r>
    </w:p>
    <w:p w:rsidR="00863C11" w:rsidRPr="00723AE8" w:rsidRDefault="00863C11" w:rsidP="00863C11">
      <w:pPr>
        <w:autoSpaceDE w:val="0"/>
        <w:autoSpaceDN w:val="0"/>
        <w:adjustRightInd w:val="0"/>
        <w:spacing w:after="0" w:line="240" w:lineRule="auto"/>
        <w:jc w:val="both"/>
        <w:rPr>
          <w:rFonts w:ascii="Book Antiqua" w:eastAsia="Calibri" w:hAnsi="Book Antiqua" w:cs="AdvP6975"/>
          <w:sz w:val="20"/>
          <w:szCs w:val="20"/>
          <w:lang w:val="en-US"/>
        </w:rPr>
      </w:pPr>
      <w:r w:rsidRPr="00723AE8">
        <w:rPr>
          <w:rFonts w:ascii="Book Antiqua" w:eastAsia="Calibri" w:hAnsi="Book Antiqua" w:cs="AdvP6975"/>
          <w:sz w:val="20"/>
          <w:szCs w:val="20"/>
          <w:lang w:val="en-US"/>
        </w:rPr>
        <w:t xml:space="preserve">Note: </w:t>
      </w:r>
    </w:p>
    <w:p w:rsidR="00863C11" w:rsidRPr="00723AE8" w:rsidRDefault="00863C11" w:rsidP="00863C11">
      <w:pPr>
        <w:autoSpaceDE w:val="0"/>
        <w:autoSpaceDN w:val="0"/>
        <w:adjustRightInd w:val="0"/>
        <w:spacing w:after="0" w:line="240" w:lineRule="auto"/>
        <w:jc w:val="both"/>
        <w:rPr>
          <w:rFonts w:ascii="Book Antiqua" w:eastAsia="Calibri" w:hAnsi="Book Antiqua" w:cs="AdvP6975"/>
          <w:sz w:val="20"/>
          <w:szCs w:val="20"/>
          <w:lang w:val="en-US"/>
        </w:rPr>
      </w:pPr>
      <w:r w:rsidRPr="00723AE8">
        <w:rPr>
          <w:rFonts w:ascii="Book Antiqua" w:eastAsia="Calibri" w:hAnsi="Book Antiqua" w:cs="AdvP6975"/>
          <w:sz w:val="20"/>
          <w:szCs w:val="20"/>
          <w:lang w:val="en-US"/>
        </w:rPr>
        <w:t xml:space="preserve"> </w:t>
      </w:r>
      <w:r w:rsidRPr="00723AE8">
        <w:rPr>
          <w:rFonts w:ascii="Book Antiqua" w:eastAsia="Calibri" w:hAnsi="Book Antiqua" w:cs="AdvP696A"/>
          <w:sz w:val="20"/>
          <w:szCs w:val="20"/>
          <w:lang w:val="en-US"/>
        </w:rPr>
        <w:t>vi</w:t>
      </w:r>
      <w:r w:rsidRPr="00723AE8">
        <w:rPr>
          <w:rFonts w:ascii="Book Antiqua" w:eastAsia="Calibri" w:hAnsi="Book Antiqua" w:cs="AdvP6975"/>
          <w:sz w:val="20"/>
          <w:szCs w:val="20"/>
          <w:lang w:val="en-US"/>
        </w:rPr>
        <w:t xml:space="preserve">, </w:t>
      </w:r>
      <w:r w:rsidRPr="00723AE8">
        <w:rPr>
          <w:rFonts w:ascii="Book Antiqua" w:eastAsia="Calibri" w:hAnsi="Book Antiqua" w:cs="AdvP696A"/>
          <w:sz w:val="20"/>
          <w:szCs w:val="20"/>
          <w:lang w:val="en-US"/>
        </w:rPr>
        <w:t>wd</w:t>
      </w:r>
      <w:r w:rsidRPr="00723AE8">
        <w:rPr>
          <w:rFonts w:ascii="Book Antiqua" w:eastAsia="Calibri" w:hAnsi="Book Antiqua" w:cs="AdvP6975"/>
          <w:sz w:val="20"/>
          <w:szCs w:val="20"/>
          <w:lang w:val="en-US"/>
        </w:rPr>
        <w:t xml:space="preserve">, </w:t>
      </w:r>
      <w:r w:rsidRPr="00723AE8">
        <w:rPr>
          <w:rFonts w:ascii="Book Antiqua" w:eastAsia="Calibri" w:hAnsi="Book Antiqua" w:cs="AdvP4C4E46"/>
          <w:sz w:val="20"/>
          <w:szCs w:val="20"/>
          <w:lang w:val="en-US"/>
        </w:rPr>
        <w:t>e</w:t>
      </w:r>
      <w:r w:rsidRPr="00723AE8">
        <w:rPr>
          <w:rFonts w:ascii="Book Antiqua" w:eastAsia="Calibri" w:hAnsi="Book Antiqua" w:cs="AdvP696A"/>
          <w:sz w:val="20"/>
          <w:szCs w:val="20"/>
          <w:lang w:val="en-US"/>
        </w:rPr>
        <w:t>wd</w:t>
      </w:r>
      <w:r w:rsidRPr="00723AE8">
        <w:rPr>
          <w:rFonts w:ascii="Book Antiqua" w:eastAsia="Calibri" w:hAnsi="Book Antiqua" w:cs="AdvP6975"/>
          <w:sz w:val="20"/>
          <w:szCs w:val="20"/>
          <w:lang w:val="en-US"/>
        </w:rPr>
        <w:t xml:space="preserve">, and  </w:t>
      </w:r>
      <w:r w:rsidRPr="00723AE8">
        <w:rPr>
          <w:rFonts w:ascii="Book Antiqua" w:eastAsia="Calibri" w:hAnsi="Book Antiqua" w:cs="AdvP696A"/>
          <w:sz w:val="20"/>
          <w:szCs w:val="20"/>
          <w:lang w:val="en-US"/>
        </w:rPr>
        <w:t xml:space="preserve">ur </w:t>
      </w:r>
      <w:r w:rsidRPr="00723AE8">
        <w:rPr>
          <w:rFonts w:ascii="Book Antiqua" w:eastAsia="Calibri" w:hAnsi="Book Antiqua" w:cs="AdvP6975"/>
          <w:sz w:val="20"/>
          <w:szCs w:val="20"/>
          <w:lang w:val="en-US"/>
        </w:rPr>
        <w:t>the weight may not  be in negative</w:t>
      </w:r>
      <w:r w:rsidR="008F7159">
        <w:rPr>
          <w:rFonts w:ascii="Book Antiqua" w:eastAsia="Calibri" w:hAnsi="Book Antiqua" w:cs="AdvP6975"/>
          <w:sz w:val="20"/>
          <w:szCs w:val="20"/>
          <w:lang w:val="en-US"/>
        </w:rPr>
        <w:t xml:space="preserve"> and</w:t>
      </w:r>
      <w:r w:rsidRPr="00723AE8">
        <w:rPr>
          <w:rFonts w:ascii="Book Antiqua" w:eastAsia="Calibri" w:hAnsi="Book Antiqua" w:cs="AdvP6975"/>
          <w:sz w:val="20"/>
          <w:szCs w:val="20"/>
          <w:lang w:val="en-US"/>
        </w:rPr>
        <w:t xml:space="preserve">  </w:t>
      </w:r>
      <w:r w:rsidRPr="00723AE8">
        <w:rPr>
          <w:rFonts w:ascii="Book Antiqua" w:eastAsia="Calibri" w:hAnsi="Book Antiqua" w:cs="AdvP696A"/>
          <w:sz w:val="20"/>
          <w:szCs w:val="20"/>
          <w:lang w:val="en-US"/>
        </w:rPr>
        <w:t xml:space="preserve">wd </w:t>
      </w:r>
      <w:r w:rsidRPr="00723AE8">
        <w:rPr>
          <w:rFonts w:ascii="Book Antiqua" w:eastAsia="Calibri" w:hAnsi="Book Antiqua" w:cs="AdvP6975"/>
          <w:sz w:val="20"/>
          <w:szCs w:val="20"/>
          <w:lang w:val="en-US"/>
        </w:rPr>
        <w:t xml:space="preserve">can be the same as </w:t>
      </w:r>
      <w:r w:rsidRPr="00723AE8">
        <w:rPr>
          <w:rFonts w:ascii="Book Antiqua" w:eastAsia="Calibri" w:hAnsi="Book Antiqua" w:cs="AdvP4C4E46"/>
          <w:sz w:val="20"/>
          <w:szCs w:val="20"/>
          <w:lang w:val="en-US"/>
        </w:rPr>
        <w:t>e</w:t>
      </w:r>
      <w:r w:rsidRPr="00723AE8">
        <w:rPr>
          <w:rFonts w:ascii="Book Antiqua" w:eastAsia="Calibri" w:hAnsi="Book Antiqua" w:cs="AdvP696A"/>
          <w:sz w:val="20"/>
          <w:szCs w:val="20"/>
          <w:lang w:val="en-US"/>
        </w:rPr>
        <w:t>wd</w:t>
      </w:r>
      <w:r w:rsidRPr="00723AE8">
        <w:rPr>
          <w:rFonts w:ascii="Book Antiqua" w:eastAsia="Calibri" w:hAnsi="Book Antiqua" w:cs="AdvP6975"/>
          <w:sz w:val="20"/>
          <w:szCs w:val="20"/>
          <w:lang w:val="en-US"/>
        </w:rPr>
        <w:t>.</w:t>
      </w:r>
    </w:p>
    <w:p w:rsidR="00863C11" w:rsidRPr="00723AE8" w:rsidRDefault="00863C11" w:rsidP="00863C11">
      <w:pPr>
        <w:autoSpaceDE w:val="0"/>
        <w:autoSpaceDN w:val="0"/>
        <w:adjustRightInd w:val="0"/>
        <w:spacing w:after="0" w:line="240" w:lineRule="auto"/>
        <w:jc w:val="both"/>
        <w:rPr>
          <w:rFonts w:ascii="Book Antiqua" w:eastAsia="Calibri" w:hAnsi="Book Antiqua" w:cs="AdvP696A"/>
          <w:sz w:val="20"/>
          <w:szCs w:val="20"/>
          <w:lang w:val="en-US"/>
        </w:rPr>
      </w:pPr>
    </w:p>
    <w:p w:rsidR="002221B1" w:rsidRPr="00723AE8" w:rsidRDefault="00863C11" w:rsidP="002221B1">
      <w:pPr>
        <w:autoSpaceDE w:val="0"/>
        <w:autoSpaceDN w:val="0"/>
        <w:adjustRightInd w:val="0"/>
        <w:spacing w:after="0" w:line="240" w:lineRule="auto"/>
        <w:ind w:firstLine="426"/>
        <w:jc w:val="both"/>
        <w:rPr>
          <w:rFonts w:ascii="Book Antiqua" w:eastAsia="Calibri" w:hAnsi="Book Antiqua" w:cs="Times New Roman"/>
          <w:color w:val="000000"/>
          <w:sz w:val="20"/>
          <w:szCs w:val="20"/>
          <w:lang w:val="en-US"/>
        </w:rPr>
      </w:pPr>
      <w:r w:rsidRPr="00723AE8">
        <w:rPr>
          <w:rFonts w:ascii="Book Antiqua" w:eastAsia="Calibri" w:hAnsi="Book Antiqua" w:cs="Times New Roman"/>
          <w:color w:val="000000"/>
          <w:sz w:val="20"/>
          <w:szCs w:val="20"/>
          <w:lang w:val="en-US"/>
        </w:rPr>
        <w:t>Seiford and Zhu used a two-stage network structure to measure the profitability and marketing of US commercial banks. In their study, profitability is measured relative to labor and assets as inputs while the output is profit and income. In the second stage, for marketing, profit and income are used as input, while market values, returns, and earnings per share are outputs (Seiford and Zhu (1999) in (Cook and Zhu, 2014). Research on efficiency of 46 private banks and the Indian public sector was conducted from 2010 to 2014 using</w:t>
      </w:r>
      <w:r w:rsidR="00A0356C">
        <w:rPr>
          <w:rFonts w:ascii="Book Antiqua" w:eastAsia="Calibri" w:hAnsi="Book Antiqua" w:cs="Times New Roman"/>
          <w:color w:val="000000"/>
          <w:sz w:val="20"/>
          <w:szCs w:val="20"/>
          <w:lang w:val="en-US"/>
        </w:rPr>
        <w:t xml:space="preserve"> the non-parametric DEA</w:t>
      </w:r>
      <w:r w:rsidR="00A0356C">
        <w:rPr>
          <w:rFonts w:ascii="Book Antiqua" w:eastAsia="Calibri" w:hAnsi="Book Antiqua" w:cs="Times New Roman"/>
          <w:color w:val="000000"/>
          <w:sz w:val="20"/>
          <w:szCs w:val="20"/>
        </w:rPr>
        <w:t xml:space="preserve"> </w:t>
      </w:r>
      <w:r w:rsidR="00A0356C">
        <w:rPr>
          <w:rFonts w:ascii="Book Antiqua" w:eastAsia="Calibri" w:hAnsi="Book Antiqua" w:cs="Times New Roman"/>
          <w:color w:val="000000"/>
          <w:sz w:val="20"/>
          <w:szCs w:val="20"/>
          <w:lang w:val="en-US"/>
        </w:rPr>
        <w:t>methodology</w:t>
      </w:r>
      <w:r w:rsidR="00A0356C">
        <w:rPr>
          <w:rFonts w:ascii="Book Antiqua" w:eastAsia="Calibri" w:hAnsi="Book Antiqua" w:cs="Times New Roman"/>
          <w:color w:val="000000"/>
          <w:sz w:val="20"/>
          <w:szCs w:val="20"/>
        </w:rPr>
        <w:t>.</w:t>
      </w:r>
      <w:r w:rsidR="00A0356C">
        <w:rPr>
          <w:rFonts w:ascii="Book Antiqua" w:eastAsia="Calibri" w:hAnsi="Book Antiqua" w:cs="Times New Roman"/>
          <w:color w:val="000000"/>
          <w:sz w:val="20"/>
          <w:szCs w:val="20"/>
          <w:lang w:val="en-US"/>
        </w:rPr>
        <w:t xml:space="preserve"> </w:t>
      </w:r>
      <w:r w:rsidR="00A0356C">
        <w:rPr>
          <w:rFonts w:ascii="Book Antiqua" w:eastAsia="Calibri" w:hAnsi="Book Antiqua" w:cs="Times New Roman"/>
          <w:color w:val="000000"/>
          <w:sz w:val="20"/>
          <w:szCs w:val="20"/>
        </w:rPr>
        <w:t>T</w:t>
      </w:r>
      <w:r w:rsidRPr="00723AE8">
        <w:rPr>
          <w:rFonts w:ascii="Book Antiqua" w:eastAsia="Calibri" w:hAnsi="Book Antiqua" w:cs="Times New Roman"/>
          <w:color w:val="000000"/>
          <w:sz w:val="20"/>
          <w:szCs w:val="20"/>
          <w:lang w:val="en-US"/>
        </w:rPr>
        <w:t xml:space="preserve">his research found that private banks were relatively more efficient than commercial banks. This research </w:t>
      </w:r>
      <w:r w:rsidRPr="00723AE8">
        <w:rPr>
          <w:rFonts w:ascii="Book Antiqua" w:eastAsia="Calibri" w:hAnsi="Book Antiqua" w:cs="Times New Roman"/>
          <w:color w:val="000000"/>
          <w:sz w:val="20"/>
          <w:szCs w:val="20"/>
          <w:lang w:val="en-US"/>
        </w:rPr>
        <w:lastRenderedPageBreak/>
        <w:t>also found that the managerial inefficiencies were the main cause for the overall technical inefficiencies of private banks rather than scale inef</w:t>
      </w:r>
      <w:r w:rsidR="00A0356C">
        <w:rPr>
          <w:rFonts w:ascii="Book Antiqua" w:eastAsia="Calibri" w:hAnsi="Book Antiqua" w:cs="Times New Roman"/>
          <w:color w:val="000000"/>
          <w:sz w:val="20"/>
          <w:szCs w:val="20"/>
          <w:lang w:val="en-US"/>
        </w:rPr>
        <w:t xml:space="preserve">ficiencies. On the other hand, </w:t>
      </w:r>
      <w:r w:rsidRPr="00723AE8">
        <w:rPr>
          <w:rFonts w:ascii="Book Antiqua" w:eastAsia="Calibri" w:hAnsi="Book Antiqua" w:cs="Times New Roman"/>
          <w:color w:val="000000"/>
          <w:sz w:val="20"/>
          <w:szCs w:val="20"/>
          <w:lang w:val="en-US"/>
        </w:rPr>
        <w:t>the main cause of technical inefficiencies of public banks for several years is the scale inefficiency, not managerial inefficiency.</w:t>
      </w:r>
      <w:r w:rsidR="00A0356C">
        <w:rPr>
          <w:rFonts w:ascii="Book Antiqua" w:eastAsia="Calibri" w:hAnsi="Book Antiqua" w:cs="Times New Roman"/>
          <w:color w:val="000000"/>
          <w:sz w:val="20"/>
          <w:szCs w:val="20"/>
        </w:rPr>
        <w:t xml:space="preserve"> </w:t>
      </w:r>
      <w:r w:rsidRPr="00723AE8">
        <w:rPr>
          <w:rFonts w:ascii="Book Antiqua" w:eastAsia="Calibri" w:hAnsi="Book Antiqua" w:cs="Times New Roman"/>
          <w:color w:val="000000"/>
          <w:sz w:val="20"/>
          <w:szCs w:val="20"/>
          <w:lang w:val="en-US"/>
        </w:rPr>
        <w:t>In addition, on average, the difference between the efficiency score of private b</w:t>
      </w:r>
      <w:r w:rsidR="00A0356C">
        <w:rPr>
          <w:rFonts w:ascii="Book Antiqua" w:eastAsia="Calibri" w:hAnsi="Book Antiqua" w:cs="Times New Roman"/>
          <w:color w:val="000000"/>
          <w:sz w:val="20"/>
          <w:szCs w:val="20"/>
          <w:lang w:val="en-US"/>
        </w:rPr>
        <w:t xml:space="preserve">anks and that of public banks </w:t>
      </w:r>
      <w:r w:rsidR="00A0356C">
        <w:rPr>
          <w:rFonts w:ascii="Book Antiqua" w:eastAsia="Calibri" w:hAnsi="Book Antiqua" w:cs="Times New Roman"/>
          <w:color w:val="000000"/>
          <w:sz w:val="20"/>
          <w:szCs w:val="20"/>
        </w:rPr>
        <w:t>was</w:t>
      </w:r>
      <w:r w:rsidRPr="00723AE8">
        <w:rPr>
          <w:rFonts w:ascii="Book Antiqua" w:eastAsia="Calibri" w:hAnsi="Book Antiqua" w:cs="Times New Roman"/>
          <w:color w:val="000000"/>
          <w:sz w:val="20"/>
          <w:szCs w:val="20"/>
          <w:lang w:val="en-US"/>
        </w:rPr>
        <w:t xml:space="preserve"> not statistically significant</w:t>
      </w:r>
      <w:r w:rsidR="00A0356C">
        <w:rPr>
          <w:rFonts w:ascii="Book Antiqua" w:eastAsia="Calibri" w:hAnsi="Book Antiqua" w:cs="Times New Roman"/>
          <w:color w:val="000000"/>
          <w:sz w:val="20"/>
          <w:szCs w:val="20"/>
        </w:rPr>
        <w:t>,</w:t>
      </w:r>
      <w:r w:rsidRPr="00723AE8">
        <w:rPr>
          <w:rFonts w:ascii="Book Antiqua" w:eastAsia="Calibri" w:hAnsi="Book Antiqua" w:cs="Times New Roman"/>
          <w:color w:val="000000"/>
          <w:sz w:val="20"/>
          <w:szCs w:val="20"/>
          <w:lang w:val="en-US"/>
        </w:rPr>
        <w:t xml:space="preserve"> except the scale efficiency which was signifi</w:t>
      </w:r>
      <w:r w:rsidR="00A0356C">
        <w:rPr>
          <w:rFonts w:ascii="Book Antiqua" w:eastAsia="Calibri" w:hAnsi="Book Antiqua" w:cs="Times New Roman"/>
          <w:color w:val="000000"/>
          <w:sz w:val="20"/>
          <w:szCs w:val="20"/>
          <w:lang w:val="en-US"/>
        </w:rPr>
        <w:t>cant for three years in a row</w:t>
      </w:r>
      <w:r w:rsidR="00A0356C">
        <w:rPr>
          <w:rFonts w:ascii="Book Antiqua" w:eastAsia="Calibri" w:hAnsi="Book Antiqua" w:cs="Times New Roman"/>
          <w:color w:val="000000"/>
          <w:sz w:val="20"/>
          <w:szCs w:val="20"/>
        </w:rPr>
        <w:t>,</w:t>
      </w:r>
      <w:r w:rsidRPr="00723AE8">
        <w:rPr>
          <w:rFonts w:ascii="Book Antiqua" w:eastAsia="Calibri" w:hAnsi="Book Antiqua" w:cs="Times New Roman"/>
          <w:color w:val="000000"/>
          <w:sz w:val="20"/>
          <w:szCs w:val="20"/>
          <w:lang w:val="en-US"/>
        </w:rPr>
        <w:t xml:space="preserve"> 2010, 2011 and 2012 (Jyoti Singh et al. 2016).</w:t>
      </w:r>
    </w:p>
    <w:p w:rsidR="002221B1" w:rsidRPr="00723AE8" w:rsidRDefault="00863C11" w:rsidP="002221B1">
      <w:pPr>
        <w:autoSpaceDE w:val="0"/>
        <w:autoSpaceDN w:val="0"/>
        <w:adjustRightInd w:val="0"/>
        <w:spacing w:after="0" w:line="240" w:lineRule="auto"/>
        <w:ind w:firstLine="426"/>
        <w:jc w:val="both"/>
        <w:rPr>
          <w:rFonts w:ascii="Book Antiqua" w:eastAsia="Calibri" w:hAnsi="Book Antiqua" w:cs="Times New Roman"/>
          <w:color w:val="000000"/>
          <w:sz w:val="20"/>
          <w:szCs w:val="20"/>
          <w:lang w:val="en-US"/>
        </w:rPr>
      </w:pPr>
      <w:r w:rsidRPr="00723AE8">
        <w:rPr>
          <w:rFonts w:ascii="Book Antiqua" w:eastAsia="Calibri" w:hAnsi="Book Antiqua" w:cs="Times New Roman"/>
          <w:color w:val="000000"/>
          <w:sz w:val="20"/>
          <w:szCs w:val="20"/>
          <w:lang w:val="en-US"/>
        </w:rPr>
        <w:t>The results of research using DEA to analyze the efficiency of Commercial Banks in the UK show that the average commercial banks in the UK, both domestic and foreign, have not reached the level of efficiency either overall technical efficiency, pure technical efficiency, or scale efficiency (Ouennic</w:t>
      </w:r>
      <w:r w:rsidR="00A0356C">
        <w:rPr>
          <w:rFonts w:ascii="Book Antiqua" w:eastAsia="Calibri" w:hAnsi="Book Antiqua" w:cs="Times New Roman"/>
          <w:color w:val="000000"/>
          <w:sz w:val="20"/>
          <w:szCs w:val="20"/>
          <w:lang w:val="en-US"/>
        </w:rPr>
        <w:t>he and Carrales 2018)</w:t>
      </w:r>
      <w:r w:rsidRPr="00723AE8">
        <w:rPr>
          <w:rFonts w:ascii="Book Antiqua" w:eastAsia="Calibri" w:hAnsi="Book Antiqua" w:cs="Times New Roman"/>
          <w:color w:val="000000"/>
          <w:sz w:val="20"/>
          <w:szCs w:val="20"/>
          <w:lang w:val="en-US"/>
        </w:rPr>
        <w:t>. Literature review related to the measurement of the relative efficiency of banks using DEA is measured through the ability of each bank to maximize output at certain input levels. By measuring its efficiency, it can function as an early warning or benchmark of its performance and can determine future improvements in various fields, such as managerial, technology or socioeconomic (Othman et al. 2016).</w:t>
      </w:r>
    </w:p>
    <w:p w:rsidR="002221B1" w:rsidRPr="00723AE8" w:rsidRDefault="00863C11" w:rsidP="002221B1">
      <w:pPr>
        <w:autoSpaceDE w:val="0"/>
        <w:autoSpaceDN w:val="0"/>
        <w:adjustRightInd w:val="0"/>
        <w:spacing w:after="0" w:line="240" w:lineRule="auto"/>
        <w:ind w:firstLine="426"/>
        <w:jc w:val="both"/>
        <w:rPr>
          <w:rFonts w:ascii="Book Antiqua" w:eastAsia="Calibri" w:hAnsi="Book Antiqua" w:cs="Times New Roman"/>
          <w:color w:val="000000"/>
          <w:sz w:val="20"/>
          <w:szCs w:val="20"/>
          <w:lang w:val="en-US"/>
        </w:rPr>
      </w:pPr>
      <w:r w:rsidRPr="00723AE8">
        <w:rPr>
          <w:rFonts w:ascii="Book Antiqua" w:eastAsia="Calibri" w:hAnsi="Book Antiqua" w:cs="Times New Roman"/>
          <w:color w:val="000000"/>
          <w:sz w:val="20"/>
          <w:szCs w:val="20"/>
          <w:lang w:val="en-US"/>
        </w:rPr>
        <w:t>The results of the use of DEA to assess the efficiency of Malaysian commercial banks during the 2000-2006 period show that domestic banks are relatively more efficient than foreign banks. The results of parametric and non-parametric tests show that for 2000-2004, both domestic and foreign banks have the same technology, while the results for 2005 and 2006 show the opposite. This implies that banks have recently had access to different and more efficient technologies (Tahir et al. 2009). The results of research using DEA to assess the efficiency of banks in Korea with negative data show that most Korean banks recover from the worst performance in 2011 and show similar performance in recent years. Among the three groups, such as national banks, regional banks, and special banks, special banks show outstanding performance across all models and years. The difference in performance between special banks and regional banks is statistically significant. The high performance of specialized banks is due to market access and their type of national ownership (Lee 2017).</w:t>
      </w:r>
    </w:p>
    <w:p w:rsidR="002221B1" w:rsidRPr="00723AE8" w:rsidRDefault="00863C11" w:rsidP="002221B1">
      <w:pPr>
        <w:autoSpaceDE w:val="0"/>
        <w:autoSpaceDN w:val="0"/>
        <w:adjustRightInd w:val="0"/>
        <w:spacing w:after="0" w:line="240" w:lineRule="auto"/>
        <w:ind w:firstLine="426"/>
        <w:jc w:val="both"/>
        <w:rPr>
          <w:rFonts w:ascii="Book Antiqua" w:eastAsia="Calibri" w:hAnsi="Book Antiqua" w:cs="Times New Roman"/>
          <w:color w:val="000000"/>
          <w:sz w:val="20"/>
          <w:szCs w:val="20"/>
          <w:lang w:val="en-US"/>
        </w:rPr>
      </w:pPr>
      <w:r w:rsidRPr="00723AE8">
        <w:rPr>
          <w:rFonts w:ascii="Book Antiqua" w:eastAsia="Calibri" w:hAnsi="Book Antiqua" w:cs="Times New Roman"/>
          <w:color w:val="000000"/>
          <w:sz w:val="20"/>
          <w:szCs w:val="20"/>
          <w:lang w:val="en-US"/>
        </w:rPr>
        <w:t xml:space="preserve">The results of research on the efficiency of Islamic banks in Indonesia using DEA </w:t>
      </w:r>
      <w:r w:rsidRPr="00723AE8">
        <w:rPr>
          <w:rFonts w:ascii="Times New Roman" w:eastAsia="Calibri" w:hAnsi="Times New Roman" w:cs="Times New Roman"/>
          <w:color w:val="000000"/>
          <w:sz w:val="20"/>
          <w:szCs w:val="20"/>
          <w:lang w:val="en-US"/>
        </w:rPr>
        <w:t>​​</w:t>
      </w:r>
      <w:r w:rsidRPr="00723AE8">
        <w:rPr>
          <w:rFonts w:ascii="Book Antiqua" w:eastAsia="Calibri" w:hAnsi="Book Antiqua" w:cs="Times New Roman"/>
          <w:color w:val="000000"/>
          <w:sz w:val="20"/>
          <w:szCs w:val="20"/>
          <w:lang w:val="en-US"/>
        </w:rPr>
        <w:t xml:space="preserve">and Tobit models, involving 10 Islamic commercial banks in Indonesia 2011 – 2014, show that the average efficiency of Islamic banks in Indonesia is at a fairly good level with an average score of 91.82, which means that although it is relatively inefficient, Islamic commercial banks in Indonesia can optimize input resources to produce output as an intermediary institution. </w:t>
      </w:r>
    </w:p>
    <w:p w:rsidR="002221B1" w:rsidRPr="00723AE8" w:rsidRDefault="00863C11" w:rsidP="002221B1">
      <w:pPr>
        <w:autoSpaceDE w:val="0"/>
        <w:autoSpaceDN w:val="0"/>
        <w:adjustRightInd w:val="0"/>
        <w:spacing w:after="0" w:line="240" w:lineRule="auto"/>
        <w:ind w:firstLine="426"/>
        <w:jc w:val="both"/>
        <w:rPr>
          <w:rFonts w:ascii="Book Antiqua" w:eastAsia="Calibri" w:hAnsi="Book Antiqua" w:cs="Times New Roman"/>
          <w:color w:val="000000"/>
          <w:sz w:val="20"/>
          <w:szCs w:val="20"/>
          <w:lang w:val="en-US"/>
        </w:rPr>
      </w:pPr>
      <w:r w:rsidRPr="00723AE8">
        <w:rPr>
          <w:rFonts w:ascii="Book Antiqua" w:eastAsia="Calibri" w:hAnsi="Book Antiqua" w:cs="Times New Roman"/>
          <w:color w:val="000000"/>
          <w:sz w:val="20"/>
          <w:szCs w:val="20"/>
          <w:lang w:val="en-US"/>
        </w:rPr>
        <w:t>The results of research by applying the Tobit model using assets (ASSET), non-performing financing (NPF), capital adequacy ratio (CAR), number of bank branches (BRANCH) and return on assets (ROA) as explanatory v</w:t>
      </w:r>
      <w:r w:rsidR="008F7159">
        <w:rPr>
          <w:rFonts w:ascii="Book Antiqua" w:eastAsia="Calibri" w:hAnsi="Book Antiqua" w:cs="Times New Roman"/>
          <w:color w:val="000000"/>
          <w:sz w:val="20"/>
          <w:szCs w:val="20"/>
          <w:lang w:val="en-US"/>
        </w:rPr>
        <w:t>ariables show that the variables</w:t>
      </w:r>
      <w:r w:rsidRPr="00723AE8">
        <w:rPr>
          <w:rFonts w:ascii="Book Antiqua" w:eastAsia="Calibri" w:hAnsi="Book Antiqua" w:cs="Times New Roman"/>
          <w:color w:val="000000"/>
          <w:sz w:val="20"/>
          <w:szCs w:val="20"/>
          <w:lang w:val="en-US"/>
        </w:rPr>
        <w:t xml:space="preserve"> of asset, number of bank branches, and ROA have a significant influence on the efficiency of Islamic commercial banks, while the variables of CAR and NPF empirically have no significant effect on efficiency (Farandy et al 2017).</w:t>
      </w:r>
    </w:p>
    <w:p w:rsidR="002221B1" w:rsidRPr="00723AE8" w:rsidRDefault="00863C11" w:rsidP="002221B1">
      <w:pPr>
        <w:autoSpaceDE w:val="0"/>
        <w:autoSpaceDN w:val="0"/>
        <w:adjustRightInd w:val="0"/>
        <w:spacing w:after="0" w:line="240" w:lineRule="auto"/>
        <w:ind w:firstLine="426"/>
        <w:jc w:val="both"/>
        <w:rPr>
          <w:rFonts w:ascii="Book Antiqua" w:eastAsia="Calibri" w:hAnsi="Book Antiqua" w:cs="Times New Roman"/>
          <w:color w:val="000000"/>
          <w:sz w:val="20"/>
          <w:szCs w:val="20"/>
          <w:lang w:val="en-US"/>
        </w:rPr>
      </w:pPr>
      <w:r w:rsidRPr="00723AE8">
        <w:rPr>
          <w:rFonts w:ascii="Book Antiqua" w:eastAsia="Calibri" w:hAnsi="Book Antiqua" w:cs="Times New Roman"/>
          <w:color w:val="000000"/>
          <w:sz w:val="20"/>
          <w:szCs w:val="20"/>
          <w:lang w:val="en-US"/>
        </w:rPr>
        <w:t>The results of the study using DEA to assess the efficiency of banks in Czech Slovakia showed that the three largest banks in Slovakia proved to be efficient in the two years analyzed and were efficient in all models with various combinations of inputs and outputs.</w:t>
      </w:r>
    </w:p>
    <w:p w:rsidR="002221B1" w:rsidRPr="00723AE8" w:rsidRDefault="00863C11" w:rsidP="002221B1">
      <w:pPr>
        <w:autoSpaceDE w:val="0"/>
        <w:autoSpaceDN w:val="0"/>
        <w:adjustRightInd w:val="0"/>
        <w:spacing w:after="0" w:line="240" w:lineRule="auto"/>
        <w:ind w:firstLine="426"/>
        <w:jc w:val="both"/>
        <w:rPr>
          <w:rFonts w:ascii="Book Antiqua" w:eastAsia="Calibri" w:hAnsi="Book Antiqua" w:cs="Times New Roman"/>
          <w:color w:val="000000"/>
          <w:sz w:val="20"/>
          <w:szCs w:val="20"/>
          <w:lang w:val="en-US"/>
        </w:rPr>
      </w:pPr>
      <w:r w:rsidRPr="00723AE8">
        <w:rPr>
          <w:rFonts w:ascii="Book Antiqua" w:eastAsia="Calibri" w:hAnsi="Book Antiqua" w:cs="Times New Roman"/>
          <w:color w:val="000000"/>
          <w:sz w:val="20"/>
          <w:szCs w:val="20"/>
          <w:lang w:val="en-US"/>
        </w:rPr>
        <w:t xml:space="preserve">Grmanová and Ivanová 2018 examined banking efficiency for ASEAN-5 countries, consisting of Indonesia, Malaysia, the Philippines, Singapore, and Thailand using Data Envelopment Analysis (DEA). The input variable consists of employee benefits, fixed assets, and deposits; while the output variable consist of total income and loans. The results show a relatively high level of efficiency of each bank in each country. Achievement of input-output efficiency variables in the first period (2006-2009) tended to increase, but in the second period (2010-2013) showed a declining trend. The performance of banks in Singapore during the first period was very good, and in the second period, banks in Singapore and the Philippines showed very good performance (Wahyudi 2018). </w:t>
      </w:r>
    </w:p>
    <w:p w:rsidR="002221B1" w:rsidRPr="00723AE8" w:rsidRDefault="00863C11" w:rsidP="002221B1">
      <w:pPr>
        <w:autoSpaceDE w:val="0"/>
        <w:autoSpaceDN w:val="0"/>
        <w:adjustRightInd w:val="0"/>
        <w:spacing w:after="0" w:line="240" w:lineRule="auto"/>
        <w:ind w:firstLine="426"/>
        <w:jc w:val="both"/>
        <w:rPr>
          <w:rFonts w:ascii="Book Antiqua" w:eastAsia="Calibri" w:hAnsi="Book Antiqua" w:cs="Times New Roman"/>
          <w:color w:val="000000"/>
          <w:sz w:val="20"/>
          <w:szCs w:val="20"/>
          <w:lang w:val="en-US"/>
        </w:rPr>
      </w:pPr>
      <w:r w:rsidRPr="00723AE8">
        <w:rPr>
          <w:rFonts w:ascii="Book Antiqua" w:eastAsia="Calibri" w:hAnsi="Book Antiqua" w:cs="Times New Roman"/>
          <w:color w:val="000000"/>
          <w:sz w:val="20"/>
          <w:szCs w:val="20"/>
          <w:lang w:val="en-US"/>
        </w:rPr>
        <w:t>Research using DEA to assess the efficiency of bank branches in Queensland concluded that accounting variable can be supplemented by non-accounting variable that can be controlled by management (Avkiran 1999).</w:t>
      </w:r>
    </w:p>
    <w:p w:rsidR="002221B1" w:rsidRPr="00723AE8" w:rsidRDefault="00863C11" w:rsidP="002221B1">
      <w:pPr>
        <w:autoSpaceDE w:val="0"/>
        <w:autoSpaceDN w:val="0"/>
        <w:adjustRightInd w:val="0"/>
        <w:spacing w:after="0" w:line="240" w:lineRule="auto"/>
        <w:ind w:firstLine="426"/>
        <w:jc w:val="both"/>
        <w:rPr>
          <w:rFonts w:ascii="Book Antiqua" w:eastAsia="Calibri" w:hAnsi="Book Antiqua" w:cs="Times New Roman"/>
          <w:color w:val="000000"/>
          <w:sz w:val="20"/>
          <w:szCs w:val="20"/>
          <w:lang w:val="en-US"/>
        </w:rPr>
      </w:pPr>
      <w:r w:rsidRPr="00723AE8">
        <w:rPr>
          <w:rFonts w:ascii="Book Antiqua" w:eastAsia="Calibri" w:hAnsi="Book Antiqua" w:cs="Times New Roman"/>
          <w:color w:val="000000"/>
          <w:sz w:val="20"/>
          <w:szCs w:val="20"/>
          <w:lang w:val="en-US"/>
        </w:rPr>
        <w:t>The research using DEA was conducted to assess branches of commercial banks in Saudi Arabia to evaluate the relative efficiency of branches in order to improve service quality and to use the available resources more efficiently (Al-Faraj 1993). The results of research on the efficiency of Islamic Commercial Banks (BUS) in Indonesia 2013-2015 using DEA show that of the 11 Islamic Commercial Banks, only 5 achieved good efficiency (Miranti and Sari 2016). The results of the research on efficiency using DEA in 6 Islamic commercial Banks in Indonesia 2014-2015 show</w:t>
      </w:r>
      <w:r w:rsidR="00A0356C">
        <w:rPr>
          <w:rFonts w:ascii="Book Antiqua" w:eastAsia="Calibri" w:hAnsi="Book Antiqua" w:cs="Times New Roman"/>
          <w:color w:val="000000"/>
          <w:sz w:val="20"/>
          <w:szCs w:val="20"/>
        </w:rPr>
        <w:t>ed</w:t>
      </w:r>
      <w:r w:rsidRPr="00723AE8">
        <w:rPr>
          <w:rFonts w:ascii="Book Antiqua" w:eastAsia="Calibri" w:hAnsi="Book Antiqua" w:cs="Times New Roman"/>
          <w:color w:val="000000"/>
          <w:sz w:val="20"/>
          <w:szCs w:val="20"/>
          <w:lang w:val="en-US"/>
        </w:rPr>
        <w:t xml:space="preserve"> that only </w:t>
      </w:r>
      <w:r w:rsidR="00A0356C">
        <w:rPr>
          <w:rFonts w:ascii="Book Antiqua" w:eastAsia="Calibri" w:hAnsi="Book Antiqua" w:cs="Times New Roman"/>
          <w:color w:val="000000"/>
          <w:sz w:val="20"/>
          <w:szCs w:val="20"/>
          <w:lang w:val="en-US"/>
        </w:rPr>
        <w:t xml:space="preserve">Panin Bank Dubai Syariah that </w:t>
      </w:r>
      <w:r w:rsidR="00A0356C">
        <w:rPr>
          <w:rFonts w:ascii="Book Antiqua" w:eastAsia="Calibri" w:hAnsi="Book Antiqua" w:cs="Times New Roman"/>
          <w:color w:val="000000"/>
          <w:sz w:val="20"/>
          <w:szCs w:val="20"/>
        </w:rPr>
        <w:t>was</w:t>
      </w:r>
      <w:r w:rsidRPr="00723AE8">
        <w:rPr>
          <w:rFonts w:ascii="Book Antiqua" w:eastAsia="Calibri" w:hAnsi="Book Antiqua" w:cs="Times New Roman"/>
          <w:color w:val="000000"/>
          <w:sz w:val="20"/>
          <w:szCs w:val="20"/>
          <w:lang w:val="en-US"/>
        </w:rPr>
        <w:t xml:space="preserve"> consistently efficient (Puspitasari et al 2017).</w:t>
      </w:r>
    </w:p>
    <w:p w:rsidR="002221B1" w:rsidRPr="00723AE8" w:rsidRDefault="00863C11" w:rsidP="002221B1">
      <w:pPr>
        <w:autoSpaceDE w:val="0"/>
        <w:autoSpaceDN w:val="0"/>
        <w:adjustRightInd w:val="0"/>
        <w:spacing w:after="0" w:line="240" w:lineRule="auto"/>
        <w:ind w:firstLine="426"/>
        <w:jc w:val="both"/>
        <w:rPr>
          <w:rFonts w:ascii="Book Antiqua" w:eastAsia="Calibri" w:hAnsi="Book Antiqua" w:cs="Times New Roman"/>
          <w:color w:val="000000"/>
          <w:sz w:val="20"/>
          <w:szCs w:val="20"/>
          <w:lang w:val="en-US"/>
        </w:rPr>
      </w:pPr>
      <w:r w:rsidRPr="00723AE8">
        <w:rPr>
          <w:rFonts w:ascii="Book Antiqua" w:eastAsia="Calibri" w:hAnsi="Book Antiqua" w:cs="Times New Roman"/>
          <w:color w:val="000000"/>
          <w:sz w:val="20"/>
          <w:szCs w:val="20"/>
          <w:lang w:val="en-US"/>
        </w:rPr>
        <w:t xml:space="preserve">The results of research on the determinants of Indonesian banking efficiency using DEA </w:t>
      </w:r>
      <w:r w:rsidRPr="00723AE8">
        <w:rPr>
          <w:rFonts w:ascii="Times New Roman" w:eastAsia="Calibri" w:hAnsi="Times New Roman" w:cs="Times New Roman"/>
          <w:color w:val="000000"/>
          <w:sz w:val="20"/>
          <w:szCs w:val="20"/>
          <w:lang w:val="en-US"/>
        </w:rPr>
        <w:t>​​</w:t>
      </w:r>
      <w:r w:rsidRPr="00723AE8">
        <w:rPr>
          <w:rFonts w:ascii="Book Antiqua" w:eastAsia="Calibri" w:hAnsi="Book Antiqua" w:cs="Times New Roman"/>
          <w:color w:val="000000"/>
          <w:sz w:val="20"/>
          <w:szCs w:val="20"/>
          <w:lang w:val="en-US"/>
        </w:rPr>
        <w:t>period 2012-2014 show</w:t>
      </w:r>
      <w:r w:rsidR="00A0356C">
        <w:rPr>
          <w:rFonts w:ascii="Book Antiqua" w:eastAsia="Calibri" w:hAnsi="Book Antiqua" w:cs="Times New Roman"/>
          <w:color w:val="000000"/>
          <w:sz w:val="20"/>
          <w:szCs w:val="20"/>
        </w:rPr>
        <w:t>ed</w:t>
      </w:r>
      <w:r w:rsidR="00A0356C">
        <w:rPr>
          <w:rFonts w:ascii="Book Antiqua" w:eastAsia="Calibri" w:hAnsi="Book Antiqua" w:cs="Times New Roman"/>
          <w:color w:val="000000"/>
          <w:sz w:val="20"/>
          <w:szCs w:val="20"/>
          <w:lang w:val="en-US"/>
        </w:rPr>
        <w:t xml:space="preserve"> that the banks that</w:t>
      </w:r>
      <w:r w:rsidR="00A0356C">
        <w:rPr>
          <w:rFonts w:ascii="Book Antiqua" w:eastAsia="Calibri" w:hAnsi="Book Antiqua" w:cs="Times New Roman"/>
          <w:color w:val="000000"/>
          <w:sz w:val="20"/>
          <w:szCs w:val="20"/>
        </w:rPr>
        <w:t xml:space="preserve"> were</w:t>
      </w:r>
      <w:r w:rsidRPr="00723AE8">
        <w:rPr>
          <w:rFonts w:ascii="Book Antiqua" w:eastAsia="Calibri" w:hAnsi="Book Antiqua" w:cs="Times New Roman"/>
          <w:color w:val="000000"/>
          <w:sz w:val="20"/>
          <w:szCs w:val="20"/>
          <w:lang w:val="en-US"/>
        </w:rPr>
        <w:t xml:space="preserve"> proven to</w:t>
      </w:r>
      <w:r w:rsidR="00A0356C">
        <w:rPr>
          <w:rFonts w:ascii="Book Antiqua" w:eastAsia="Calibri" w:hAnsi="Book Antiqua" w:cs="Times New Roman"/>
          <w:color w:val="000000"/>
          <w:sz w:val="20"/>
          <w:szCs w:val="20"/>
          <w:lang w:val="en-US"/>
        </w:rPr>
        <w:t xml:space="preserve"> have the highest efficiency </w:t>
      </w:r>
      <w:r w:rsidR="00A0356C">
        <w:rPr>
          <w:rFonts w:ascii="Book Antiqua" w:eastAsia="Calibri" w:hAnsi="Book Antiqua" w:cs="Times New Roman"/>
          <w:color w:val="000000"/>
          <w:sz w:val="20"/>
          <w:szCs w:val="20"/>
        </w:rPr>
        <w:t>were</w:t>
      </w:r>
      <w:r w:rsidRPr="00723AE8">
        <w:rPr>
          <w:rFonts w:ascii="Book Antiqua" w:eastAsia="Calibri" w:hAnsi="Book Antiqua" w:cs="Times New Roman"/>
          <w:color w:val="000000"/>
          <w:sz w:val="20"/>
          <w:szCs w:val="20"/>
          <w:lang w:val="en-US"/>
        </w:rPr>
        <w:t xml:space="preserve"> foreign bank groups, state-owned commercial banks,</w:t>
      </w:r>
      <w:r w:rsidRPr="00723AE8">
        <w:rPr>
          <w:rFonts w:ascii="Book Antiqua" w:eastAsia="Calibri" w:hAnsi="Book Antiqua" w:cs="Garamond"/>
          <w:color w:val="000000"/>
          <w:sz w:val="20"/>
          <w:szCs w:val="20"/>
          <w:lang w:val="en-US"/>
        </w:rPr>
        <w:t xml:space="preserve"> </w:t>
      </w:r>
      <w:r w:rsidRPr="00723AE8">
        <w:rPr>
          <w:rFonts w:ascii="Book Antiqua" w:eastAsia="Calibri" w:hAnsi="Book Antiqua" w:cs="Times New Roman"/>
          <w:color w:val="000000"/>
          <w:sz w:val="20"/>
          <w:szCs w:val="20"/>
          <w:lang w:val="en-US"/>
        </w:rPr>
        <w:t>non-foreign exchange national private banks, foreign exchange national private banks, and mixed bank groups (Sari and Saraswati 2017).</w:t>
      </w:r>
    </w:p>
    <w:p w:rsidR="002221B1" w:rsidRPr="00723AE8" w:rsidRDefault="00863C11" w:rsidP="002221B1">
      <w:pPr>
        <w:autoSpaceDE w:val="0"/>
        <w:autoSpaceDN w:val="0"/>
        <w:adjustRightInd w:val="0"/>
        <w:spacing w:after="0" w:line="240" w:lineRule="auto"/>
        <w:ind w:firstLine="426"/>
        <w:jc w:val="both"/>
        <w:rPr>
          <w:rFonts w:ascii="Book Antiqua" w:eastAsia="Calibri" w:hAnsi="Book Antiqua" w:cs="Times New Roman"/>
          <w:color w:val="000000"/>
          <w:sz w:val="20"/>
          <w:szCs w:val="20"/>
          <w:lang w:val="en-US"/>
        </w:rPr>
      </w:pPr>
      <w:r w:rsidRPr="00723AE8">
        <w:rPr>
          <w:rFonts w:ascii="Book Antiqua" w:eastAsia="Calibri" w:hAnsi="Book Antiqua" w:cs="Times New Roman"/>
          <w:color w:val="000000"/>
          <w:sz w:val="20"/>
          <w:szCs w:val="20"/>
          <w:lang w:val="en-US"/>
        </w:rPr>
        <w:t xml:space="preserve">The results of research on efficiency of banks listed on the Indonesia Stock Exchange (BEI) using DEA </w:t>
      </w:r>
      <w:r w:rsidRPr="00723AE8">
        <w:rPr>
          <w:rFonts w:ascii="Times New Roman" w:eastAsia="Calibri" w:hAnsi="Times New Roman" w:cs="Times New Roman"/>
          <w:color w:val="000000"/>
          <w:sz w:val="20"/>
          <w:szCs w:val="20"/>
          <w:lang w:val="en-US"/>
        </w:rPr>
        <w:t>​​</w:t>
      </w:r>
      <w:r w:rsidRPr="00723AE8">
        <w:rPr>
          <w:rFonts w:ascii="Book Antiqua" w:eastAsia="Calibri" w:hAnsi="Book Antiqua" w:cs="Times New Roman"/>
          <w:color w:val="000000"/>
          <w:sz w:val="20"/>
          <w:szCs w:val="20"/>
          <w:lang w:val="en-US"/>
        </w:rPr>
        <w:t>and</w:t>
      </w:r>
      <w:r w:rsidR="008F7159">
        <w:rPr>
          <w:rFonts w:ascii="Book Antiqua" w:eastAsia="Calibri" w:hAnsi="Book Antiqua" w:cs="Times New Roman"/>
          <w:color w:val="000000"/>
          <w:sz w:val="20"/>
          <w:szCs w:val="20"/>
          <w:lang w:val="en-US"/>
        </w:rPr>
        <w:t xml:space="preserve"> its effect on stock returns pe</w:t>
      </w:r>
      <w:r w:rsidRPr="00723AE8">
        <w:rPr>
          <w:rFonts w:ascii="Book Antiqua" w:eastAsia="Calibri" w:hAnsi="Book Antiqua" w:cs="Times New Roman"/>
          <w:color w:val="000000"/>
          <w:sz w:val="20"/>
          <w:szCs w:val="20"/>
          <w:lang w:val="en-US"/>
        </w:rPr>
        <w:t>riod 2004-2008 show</w:t>
      </w:r>
      <w:r w:rsidR="00A0356C">
        <w:rPr>
          <w:rFonts w:ascii="Book Antiqua" w:eastAsia="Calibri" w:hAnsi="Book Antiqua" w:cs="Times New Roman"/>
          <w:color w:val="000000"/>
          <w:sz w:val="20"/>
          <w:szCs w:val="20"/>
        </w:rPr>
        <w:t>ed</w:t>
      </w:r>
      <w:r w:rsidRPr="00723AE8">
        <w:rPr>
          <w:rFonts w:ascii="Book Antiqua" w:eastAsia="Calibri" w:hAnsi="Book Antiqua" w:cs="Times New Roman"/>
          <w:color w:val="000000"/>
          <w:sz w:val="20"/>
          <w:szCs w:val="20"/>
          <w:lang w:val="en-US"/>
        </w:rPr>
        <w:t xml:space="preserve"> that out of 16 banks, only 6 banks </w:t>
      </w:r>
      <w:r w:rsidR="00A0356C">
        <w:rPr>
          <w:rFonts w:ascii="Book Antiqua" w:eastAsia="Calibri" w:hAnsi="Book Antiqua" w:cs="Times New Roman"/>
          <w:color w:val="000000"/>
          <w:sz w:val="20"/>
          <w:szCs w:val="20"/>
        </w:rPr>
        <w:t xml:space="preserve">that </w:t>
      </w:r>
      <w:r w:rsidR="00A0356C">
        <w:rPr>
          <w:rFonts w:ascii="Book Antiqua" w:eastAsia="Calibri" w:hAnsi="Book Antiqua" w:cs="Times New Roman"/>
          <w:color w:val="000000"/>
          <w:sz w:val="20"/>
          <w:szCs w:val="20"/>
          <w:lang w:val="en-US"/>
        </w:rPr>
        <w:t>ha</w:t>
      </w:r>
      <w:r w:rsidR="00A0356C">
        <w:rPr>
          <w:rFonts w:ascii="Book Antiqua" w:eastAsia="Calibri" w:hAnsi="Book Antiqua" w:cs="Times New Roman"/>
          <w:color w:val="000000"/>
          <w:sz w:val="20"/>
          <w:szCs w:val="20"/>
        </w:rPr>
        <w:t>d</w:t>
      </w:r>
      <w:r w:rsidRPr="00723AE8">
        <w:rPr>
          <w:rFonts w:ascii="Book Antiqua" w:eastAsia="Calibri" w:hAnsi="Book Antiqua" w:cs="Times New Roman"/>
          <w:color w:val="000000"/>
          <w:sz w:val="20"/>
          <w:szCs w:val="20"/>
          <w:lang w:val="en-US"/>
        </w:rPr>
        <w:t xml:space="preserve"> not achieved an efficiency s</w:t>
      </w:r>
      <w:r w:rsidR="00A0356C">
        <w:rPr>
          <w:rFonts w:ascii="Book Antiqua" w:eastAsia="Calibri" w:hAnsi="Book Antiqua" w:cs="Times New Roman"/>
          <w:color w:val="000000"/>
          <w:sz w:val="20"/>
          <w:szCs w:val="20"/>
          <w:lang w:val="en-US"/>
        </w:rPr>
        <w:t xml:space="preserve">core within 5 years and there </w:t>
      </w:r>
      <w:r w:rsidR="00A0356C">
        <w:rPr>
          <w:rFonts w:ascii="Book Antiqua" w:eastAsia="Calibri" w:hAnsi="Book Antiqua" w:cs="Times New Roman"/>
          <w:color w:val="000000"/>
          <w:sz w:val="20"/>
          <w:szCs w:val="20"/>
        </w:rPr>
        <w:t>was</w:t>
      </w:r>
      <w:r w:rsidRPr="00723AE8">
        <w:rPr>
          <w:rFonts w:ascii="Book Antiqua" w:eastAsia="Calibri" w:hAnsi="Book Antiqua" w:cs="Times New Roman"/>
          <w:color w:val="000000"/>
          <w:sz w:val="20"/>
          <w:szCs w:val="20"/>
          <w:lang w:val="en-US"/>
        </w:rPr>
        <w:t xml:space="preserve"> no effect of banking efficiency in Indonesia on stock returns (Qurniawati 2013). The results of research on efficiency in 26 Regional Development Banks (BPD) in Indonesia using DEA show</w:t>
      </w:r>
      <w:r w:rsidR="00A0356C">
        <w:rPr>
          <w:rFonts w:ascii="Book Antiqua" w:eastAsia="Calibri" w:hAnsi="Book Antiqua" w:cs="Times New Roman"/>
          <w:color w:val="000000"/>
          <w:sz w:val="20"/>
          <w:szCs w:val="20"/>
        </w:rPr>
        <w:t>ed</w:t>
      </w:r>
      <w:r w:rsidRPr="00723AE8">
        <w:rPr>
          <w:rFonts w:ascii="Book Antiqua" w:eastAsia="Calibri" w:hAnsi="Book Antiqua" w:cs="Times New Roman"/>
          <w:color w:val="000000"/>
          <w:sz w:val="20"/>
          <w:szCs w:val="20"/>
          <w:lang w:val="en-US"/>
        </w:rPr>
        <w:t xml:space="preserve"> that the average BPD</w:t>
      </w:r>
      <w:r w:rsidR="00A0356C">
        <w:rPr>
          <w:rFonts w:ascii="Book Antiqua" w:eastAsia="Calibri" w:hAnsi="Book Antiqua" w:cs="Times New Roman"/>
          <w:color w:val="000000"/>
          <w:sz w:val="20"/>
          <w:szCs w:val="20"/>
          <w:lang w:val="en-US"/>
        </w:rPr>
        <w:t xml:space="preserve"> efficiency </w:t>
      </w:r>
      <w:r w:rsidR="00A0356C">
        <w:rPr>
          <w:rFonts w:ascii="Book Antiqua" w:eastAsia="Calibri" w:hAnsi="Book Antiqua" w:cs="Times New Roman"/>
          <w:color w:val="000000"/>
          <w:sz w:val="20"/>
          <w:szCs w:val="20"/>
        </w:rPr>
        <w:t>was</w:t>
      </w:r>
      <w:r w:rsidR="00A0356C">
        <w:rPr>
          <w:rFonts w:ascii="Book Antiqua" w:eastAsia="Calibri" w:hAnsi="Book Antiqua" w:cs="Times New Roman"/>
          <w:color w:val="000000"/>
          <w:sz w:val="20"/>
          <w:szCs w:val="20"/>
          <w:lang w:val="en-US"/>
        </w:rPr>
        <w:t xml:space="preserve"> 93.2%. 12 banks ha</w:t>
      </w:r>
      <w:r w:rsidR="00A0356C">
        <w:rPr>
          <w:rFonts w:ascii="Book Antiqua" w:eastAsia="Calibri" w:hAnsi="Book Antiqua" w:cs="Times New Roman"/>
          <w:color w:val="000000"/>
          <w:sz w:val="20"/>
          <w:szCs w:val="20"/>
        </w:rPr>
        <w:t>d</w:t>
      </w:r>
      <w:r w:rsidRPr="00723AE8">
        <w:rPr>
          <w:rFonts w:ascii="Book Antiqua" w:eastAsia="Calibri" w:hAnsi="Book Antiqua" w:cs="Times New Roman"/>
          <w:color w:val="000000"/>
          <w:sz w:val="20"/>
          <w:szCs w:val="20"/>
          <w:lang w:val="en-US"/>
        </w:rPr>
        <w:t xml:space="preserve"> reached 100% ef</w:t>
      </w:r>
      <w:r w:rsidR="00A0356C">
        <w:rPr>
          <w:rFonts w:ascii="Book Antiqua" w:eastAsia="Calibri" w:hAnsi="Book Antiqua" w:cs="Times New Roman"/>
          <w:color w:val="000000"/>
          <w:sz w:val="20"/>
          <w:szCs w:val="20"/>
          <w:lang w:val="en-US"/>
        </w:rPr>
        <w:t xml:space="preserve">ficiency, while 14 other BPD </w:t>
      </w:r>
      <w:r w:rsidR="00A0356C">
        <w:rPr>
          <w:rFonts w:ascii="Book Antiqua" w:eastAsia="Calibri" w:hAnsi="Book Antiqua" w:cs="Times New Roman"/>
          <w:color w:val="000000"/>
          <w:sz w:val="20"/>
          <w:szCs w:val="20"/>
        </w:rPr>
        <w:t>were</w:t>
      </w:r>
      <w:r w:rsidRPr="00723AE8">
        <w:rPr>
          <w:rFonts w:ascii="Book Antiqua" w:eastAsia="Calibri" w:hAnsi="Book Antiqua" w:cs="Times New Roman"/>
          <w:color w:val="000000"/>
          <w:sz w:val="20"/>
          <w:szCs w:val="20"/>
          <w:lang w:val="en-US"/>
        </w:rPr>
        <w:t xml:space="preserve"> not efficient (&lt;100%) in carrying out their </w:t>
      </w:r>
      <w:r w:rsidR="00A0356C">
        <w:rPr>
          <w:rFonts w:ascii="Book Antiqua" w:eastAsia="Calibri" w:hAnsi="Book Antiqua" w:cs="Times New Roman"/>
          <w:color w:val="000000"/>
          <w:sz w:val="20"/>
          <w:szCs w:val="20"/>
          <w:lang w:val="en-US"/>
        </w:rPr>
        <w:t xml:space="preserve">operations. Central Java Bank </w:t>
      </w:r>
      <w:r w:rsidR="00A0356C">
        <w:rPr>
          <w:rFonts w:ascii="Book Antiqua" w:eastAsia="Calibri" w:hAnsi="Book Antiqua" w:cs="Times New Roman"/>
          <w:color w:val="000000"/>
          <w:sz w:val="20"/>
          <w:szCs w:val="20"/>
        </w:rPr>
        <w:t>was</w:t>
      </w:r>
      <w:r w:rsidRPr="00723AE8">
        <w:rPr>
          <w:rFonts w:ascii="Book Antiqua" w:eastAsia="Calibri" w:hAnsi="Book Antiqua" w:cs="Times New Roman"/>
          <w:color w:val="000000"/>
          <w:sz w:val="20"/>
          <w:szCs w:val="20"/>
          <w:lang w:val="en-US"/>
        </w:rPr>
        <w:t xml:space="preserve"> the Reg</w:t>
      </w:r>
      <w:r w:rsidR="00A0356C">
        <w:rPr>
          <w:rFonts w:ascii="Book Antiqua" w:eastAsia="Calibri" w:hAnsi="Book Antiqua" w:cs="Times New Roman"/>
          <w:color w:val="000000"/>
          <w:sz w:val="20"/>
          <w:szCs w:val="20"/>
          <w:lang w:val="en-US"/>
        </w:rPr>
        <w:t xml:space="preserve">ional Development Bank which </w:t>
      </w:r>
      <w:r w:rsidR="00A0356C">
        <w:rPr>
          <w:rFonts w:ascii="Book Antiqua" w:eastAsia="Calibri" w:hAnsi="Book Antiqua" w:cs="Times New Roman"/>
          <w:color w:val="000000"/>
          <w:sz w:val="20"/>
          <w:szCs w:val="20"/>
        </w:rPr>
        <w:t>had</w:t>
      </w:r>
      <w:r w:rsidRPr="00723AE8">
        <w:rPr>
          <w:rFonts w:ascii="Book Antiqua" w:eastAsia="Calibri" w:hAnsi="Book Antiqua" w:cs="Times New Roman"/>
          <w:color w:val="000000"/>
          <w:sz w:val="20"/>
          <w:szCs w:val="20"/>
          <w:lang w:val="en-US"/>
        </w:rPr>
        <w:t xml:space="preserve"> the lowest efficiency level of 78.6%. Interest expense </w:t>
      </w:r>
      <w:r w:rsidR="00A0356C">
        <w:rPr>
          <w:rFonts w:ascii="Book Antiqua" w:eastAsia="Calibri" w:hAnsi="Book Antiqua" w:cs="Times New Roman"/>
          <w:color w:val="000000"/>
          <w:sz w:val="20"/>
          <w:szCs w:val="20"/>
        </w:rPr>
        <w:t>was</w:t>
      </w:r>
      <w:r w:rsidRPr="00723AE8">
        <w:rPr>
          <w:rFonts w:ascii="Book Antiqua" w:eastAsia="Calibri" w:hAnsi="Book Antiqua" w:cs="Times New Roman"/>
          <w:color w:val="000000"/>
          <w:sz w:val="20"/>
          <w:szCs w:val="20"/>
          <w:lang w:val="en-US"/>
        </w:rPr>
        <w:t xml:space="preserve"> the major cause of ineffi</w:t>
      </w:r>
      <w:r w:rsidR="00A0356C">
        <w:rPr>
          <w:rFonts w:ascii="Book Antiqua" w:eastAsia="Calibri" w:hAnsi="Book Antiqua" w:cs="Times New Roman"/>
          <w:color w:val="000000"/>
          <w:sz w:val="20"/>
          <w:szCs w:val="20"/>
          <w:lang w:val="en-US"/>
        </w:rPr>
        <w:t>ciency in BPD. Therefore BPD c</w:t>
      </w:r>
      <w:r w:rsidR="00A0356C">
        <w:rPr>
          <w:rFonts w:ascii="Book Antiqua" w:eastAsia="Calibri" w:hAnsi="Book Antiqua" w:cs="Times New Roman"/>
          <w:color w:val="000000"/>
          <w:sz w:val="20"/>
          <w:szCs w:val="20"/>
        </w:rPr>
        <w:t>ould</w:t>
      </w:r>
      <w:r w:rsidRPr="00723AE8">
        <w:rPr>
          <w:rFonts w:ascii="Book Antiqua" w:eastAsia="Calibri" w:hAnsi="Book Antiqua" w:cs="Times New Roman"/>
          <w:color w:val="000000"/>
          <w:sz w:val="20"/>
          <w:szCs w:val="20"/>
          <w:lang w:val="en-US"/>
        </w:rPr>
        <w:t xml:space="preserve"> improve efficiency by reviewing interest rate policies and increasing len</w:t>
      </w:r>
      <w:r w:rsidR="00A0356C">
        <w:rPr>
          <w:rFonts w:ascii="Book Antiqua" w:eastAsia="Calibri" w:hAnsi="Book Antiqua" w:cs="Times New Roman"/>
          <w:color w:val="000000"/>
          <w:sz w:val="20"/>
          <w:szCs w:val="20"/>
          <w:lang w:val="en-US"/>
        </w:rPr>
        <w:t xml:space="preserve">ding so that the input issued </w:t>
      </w:r>
      <w:r w:rsidR="00A0356C">
        <w:rPr>
          <w:rFonts w:ascii="Book Antiqua" w:eastAsia="Calibri" w:hAnsi="Book Antiqua" w:cs="Times New Roman"/>
          <w:color w:val="000000"/>
          <w:sz w:val="20"/>
          <w:szCs w:val="20"/>
        </w:rPr>
        <w:t>was</w:t>
      </w:r>
      <w:r w:rsidRPr="00723AE8">
        <w:rPr>
          <w:rFonts w:ascii="Book Antiqua" w:eastAsia="Calibri" w:hAnsi="Book Antiqua" w:cs="Times New Roman"/>
          <w:color w:val="000000"/>
          <w:sz w:val="20"/>
          <w:szCs w:val="20"/>
          <w:lang w:val="en-US"/>
        </w:rPr>
        <w:t xml:space="preserve"> in accordance with its output with reference to the Reg</w:t>
      </w:r>
      <w:r w:rsidR="00A0356C">
        <w:rPr>
          <w:rFonts w:ascii="Book Antiqua" w:eastAsia="Calibri" w:hAnsi="Book Antiqua" w:cs="Times New Roman"/>
          <w:color w:val="000000"/>
          <w:sz w:val="20"/>
          <w:szCs w:val="20"/>
          <w:lang w:val="en-US"/>
        </w:rPr>
        <w:t>ional Development Bank which ha</w:t>
      </w:r>
      <w:r w:rsidR="00A0356C">
        <w:rPr>
          <w:rFonts w:ascii="Book Antiqua" w:eastAsia="Calibri" w:hAnsi="Book Antiqua" w:cs="Times New Roman"/>
          <w:color w:val="000000"/>
          <w:sz w:val="20"/>
          <w:szCs w:val="20"/>
        </w:rPr>
        <w:t>d</w:t>
      </w:r>
      <w:r w:rsidRPr="00723AE8">
        <w:rPr>
          <w:rFonts w:ascii="Book Antiqua" w:eastAsia="Calibri" w:hAnsi="Book Antiqua" w:cs="Times New Roman"/>
          <w:color w:val="000000"/>
          <w:sz w:val="20"/>
          <w:szCs w:val="20"/>
          <w:lang w:val="en-US"/>
        </w:rPr>
        <w:t xml:space="preserve"> reached an efficient level (Sutanto 2015).</w:t>
      </w:r>
    </w:p>
    <w:p w:rsidR="00863C11" w:rsidRPr="00723AE8" w:rsidRDefault="00863C11" w:rsidP="002221B1">
      <w:pPr>
        <w:autoSpaceDE w:val="0"/>
        <w:autoSpaceDN w:val="0"/>
        <w:adjustRightInd w:val="0"/>
        <w:spacing w:after="0" w:line="240" w:lineRule="auto"/>
        <w:ind w:firstLine="426"/>
        <w:jc w:val="both"/>
        <w:rPr>
          <w:rFonts w:ascii="Book Antiqua" w:eastAsia="Calibri" w:hAnsi="Book Antiqua" w:cs="Times New Roman"/>
          <w:color w:val="000000"/>
          <w:sz w:val="20"/>
          <w:szCs w:val="20"/>
          <w:lang w:val="en-US"/>
        </w:rPr>
      </w:pPr>
      <w:r w:rsidRPr="00723AE8">
        <w:rPr>
          <w:rFonts w:ascii="Book Antiqua" w:eastAsia="Calibri" w:hAnsi="Book Antiqua" w:cs="Garamond"/>
          <w:color w:val="000000"/>
          <w:sz w:val="20"/>
          <w:szCs w:val="20"/>
          <w:lang w:val="en-US"/>
        </w:rPr>
        <w:t>The results of research using DEA method in BPRS in the Central Java region during the period 2005-2010 show</w:t>
      </w:r>
      <w:r w:rsidR="00A0356C">
        <w:rPr>
          <w:rFonts w:ascii="Book Antiqua" w:eastAsia="Calibri" w:hAnsi="Book Antiqua" w:cs="Garamond"/>
          <w:color w:val="000000"/>
          <w:sz w:val="20"/>
          <w:szCs w:val="20"/>
        </w:rPr>
        <w:t>ed</w:t>
      </w:r>
      <w:r w:rsidR="00A0356C">
        <w:rPr>
          <w:rFonts w:ascii="Book Antiqua" w:eastAsia="Calibri" w:hAnsi="Book Antiqua" w:cs="Garamond"/>
          <w:color w:val="000000"/>
          <w:sz w:val="20"/>
          <w:szCs w:val="20"/>
          <w:lang w:val="en-US"/>
        </w:rPr>
        <w:t xml:space="preserve"> that the average efficiency </w:t>
      </w:r>
      <w:r w:rsidR="00A0356C">
        <w:rPr>
          <w:rFonts w:ascii="Book Antiqua" w:eastAsia="Calibri" w:hAnsi="Book Antiqua" w:cs="Garamond"/>
          <w:color w:val="000000"/>
          <w:sz w:val="20"/>
          <w:szCs w:val="20"/>
        </w:rPr>
        <w:t>was</w:t>
      </w:r>
      <w:r w:rsidR="00A0356C">
        <w:rPr>
          <w:rFonts w:ascii="Book Antiqua" w:eastAsia="Calibri" w:hAnsi="Book Antiqua" w:cs="Garamond"/>
          <w:color w:val="000000"/>
          <w:sz w:val="20"/>
          <w:szCs w:val="20"/>
          <w:lang w:val="en-US"/>
        </w:rPr>
        <w:t xml:space="preserve"> 95.19, and no bank that c</w:t>
      </w:r>
      <w:r w:rsidR="00A0356C">
        <w:rPr>
          <w:rFonts w:ascii="Book Antiqua" w:eastAsia="Calibri" w:hAnsi="Book Antiqua" w:cs="Garamond"/>
          <w:color w:val="000000"/>
          <w:sz w:val="20"/>
          <w:szCs w:val="20"/>
        </w:rPr>
        <w:t>ould</w:t>
      </w:r>
      <w:r w:rsidRPr="00723AE8">
        <w:rPr>
          <w:rFonts w:ascii="Book Antiqua" w:eastAsia="Calibri" w:hAnsi="Book Antiqua" w:cs="Garamond"/>
          <w:color w:val="000000"/>
          <w:sz w:val="20"/>
          <w:szCs w:val="20"/>
          <w:lang w:val="en-US"/>
        </w:rPr>
        <w:t xml:space="preserve"> achieve optimal efficiency 100% in one-year span (Yahya 2012). The results of research using DEA method for all banks in Indonesia in the category of Commercial Bank Business Activity (BUKU) 4 for the period 2012-2017 provide</w:t>
      </w:r>
      <w:r w:rsidR="00A0356C">
        <w:rPr>
          <w:rFonts w:ascii="Book Antiqua" w:eastAsia="Calibri" w:hAnsi="Book Antiqua" w:cs="Garamond"/>
          <w:color w:val="000000"/>
          <w:sz w:val="20"/>
          <w:szCs w:val="20"/>
        </w:rPr>
        <w:t>d</w:t>
      </w:r>
      <w:r w:rsidRPr="00723AE8">
        <w:rPr>
          <w:rFonts w:ascii="Book Antiqua" w:eastAsia="Calibri" w:hAnsi="Book Antiqua" w:cs="Garamond"/>
          <w:color w:val="000000"/>
          <w:sz w:val="20"/>
          <w:szCs w:val="20"/>
          <w:lang w:val="en-US"/>
        </w:rPr>
        <w:t xml:space="preserve"> empirical evid</w:t>
      </w:r>
      <w:r w:rsidR="00A0356C">
        <w:rPr>
          <w:rFonts w:ascii="Book Antiqua" w:eastAsia="Calibri" w:hAnsi="Book Antiqua" w:cs="Garamond"/>
          <w:color w:val="000000"/>
          <w:sz w:val="20"/>
          <w:szCs w:val="20"/>
          <w:lang w:val="en-US"/>
        </w:rPr>
        <w:t>ence that Indonesian banking ha</w:t>
      </w:r>
      <w:r w:rsidR="00A0356C">
        <w:rPr>
          <w:rFonts w:ascii="Book Antiqua" w:eastAsia="Calibri" w:hAnsi="Book Antiqua" w:cs="Garamond"/>
          <w:color w:val="000000"/>
          <w:sz w:val="20"/>
          <w:szCs w:val="20"/>
        </w:rPr>
        <w:t>d</w:t>
      </w:r>
      <w:r w:rsidRPr="00723AE8">
        <w:rPr>
          <w:rFonts w:ascii="Book Antiqua" w:eastAsia="Calibri" w:hAnsi="Book Antiqua" w:cs="Garamond"/>
          <w:color w:val="000000"/>
          <w:sz w:val="20"/>
          <w:szCs w:val="20"/>
          <w:lang w:val="en-US"/>
        </w:rPr>
        <w:t xml:space="preserve"> 100% efficiency. The research</w:t>
      </w:r>
      <w:r w:rsidR="00A0356C">
        <w:rPr>
          <w:rFonts w:ascii="Book Antiqua" w:eastAsia="Calibri" w:hAnsi="Book Antiqua" w:cs="Garamond"/>
          <w:color w:val="000000"/>
          <w:sz w:val="20"/>
          <w:szCs w:val="20"/>
          <w:lang w:val="en-US"/>
        </w:rPr>
        <w:t xml:space="preserve"> show</w:t>
      </w:r>
      <w:r w:rsidR="00A0356C">
        <w:rPr>
          <w:rFonts w:ascii="Book Antiqua" w:eastAsia="Calibri" w:hAnsi="Book Antiqua" w:cs="Garamond"/>
          <w:color w:val="000000"/>
          <w:sz w:val="20"/>
          <w:szCs w:val="20"/>
        </w:rPr>
        <w:t>ed</w:t>
      </w:r>
      <w:r w:rsidR="00A0356C">
        <w:rPr>
          <w:rFonts w:ascii="Book Antiqua" w:eastAsia="Calibri" w:hAnsi="Book Antiqua" w:cs="Garamond"/>
          <w:color w:val="000000"/>
          <w:sz w:val="20"/>
          <w:szCs w:val="20"/>
          <w:lang w:val="en-US"/>
        </w:rPr>
        <w:t xml:space="preserve"> that the level of efficiency </w:t>
      </w:r>
      <w:r w:rsidR="00A0356C">
        <w:rPr>
          <w:rFonts w:ascii="Book Antiqua" w:eastAsia="Calibri" w:hAnsi="Book Antiqua" w:cs="Garamond"/>
          <w:color w:val="000000"/>
          <w:sz w:val="20"/>
          <w:szCs w:val="20"/>
        </w:rPr>
        <w:t>was</w:t>
      </w:r>
      <w:r w:rsidRPr="00723AE8">
        <w:rPr>
          <w:rFonts w:ascii="Book Antiqua" w:eastAsia="Calibri" w:hAnsi="Book Antiqua" w:cs="Garamond"/>
          <w:color w:val="000000"/>
          <w:sz w:val="20"/>
          <w:szCs w:val="20"/>
          <w:lang w:val="en-US"/>
        </w:rPr>
        <w:t xml:space="preserve"> able to drive high business results and increase</w:t>
      </w:r>
      <w:r w:rsidR="00A0356C">
        <w:rPr>
          <w:rFonts w:ascii="Book Antiqua" w:eastAsia="Calibri" w:hAnsi="Book Antiqua" w:cs="Garamond"/>
          <w:color w:val="000000"/>
          <w:sz w:val="20"/>
          <w:szCs w:val="20"/>
        </w:rPr>
        <w:t>d</w:t>
      </w:r>
      <w:r w:rsidRPr="00723AE8">
        <w:rPr>
          <w:rFonts w:ascii="Book Antiqua" w:eastAsia="Calibri" w:hAnsi="Book Antiqua" w:cs="Garamond"/>
          <w:color w:val="000000"/>
          <w:sz w:val="20"/>
          <w:szCs w:val="20"/>
          <w:lang w:val="en-US"/>
        </w:rPr>
        <w:t xml:space="preserve"> competitiveness for banks in the category of Commercial Bank Business Activity (BUKU) 4 (Sari and Widaninggar 2018).</w:t>
      </w:r>
    </w:p>
    <w:p w:rsidR="00863C11" w:rsidRPr="00723AE8" w:rsidRDefault="00863C11" w:rsidP="00863C11">
      <w:pPr>
        <w:autoSpaceDE w:val="0"/>
        <w:autoSpaceDN w:val="0"/>
        <w:adjustRightInd w:val="0"/>
        <w:spacing w:after="0" w:line="240" w:lineRule="auto"/>
        <w:rPr>
          <w:rFonts w:ascii="Book Antiqua" w:eastAsia="Calibri" w:hAnsi="Book Antiqua" w:cs="Times New Roman"/>
          <w:sz w:val="20"/>
          <w:szCs w:val="20"/>
          <w:lang w:val="en-US"/>
        </w:rPr>
      </w:pPr>
    </w:p>
    <w:p w:rsidR="00863C11" w:rsidRPr="00723AE8" w:rsidRDefault="00863C11" w:rsidP="00863C11">
      <w:pPr>
        <w:spacing w:after="0" w:line="240" w:lineRule="auto"/>
        <w:jc w:val="both"/>
        <w:rPr>
          <w:rFonts w:ascii="Book Antiqua" w:eastAsia="Calibri" w:hAnsi="Book Antiqua" w:cs="Times New Roman"/>
          <w:b/>
          <w:sz w:val="20"/>
          <w:szCs w:val="20"/>
          <w:lang w:val="en-US"/>
        </w:rPr>
      </w:pPr>
      <w:r w:rsidRPr="00723AE8">
        <w:rPr>
          <w:rFonts w:ascii="Book Antiqua" w:eastAsia="Calibri" w:hAnsi="Book Antiqua" w:cs="Times New Roman"/>
          <w:b/>
          <w:sz w:val="20"/>
          <w:szCs w:val="20"/>
          <w:lang w:val="en-US"/>
        </w:rPr>
        <w:t>3. RESEARCH METHOD</w:t>
      </w:r>
    </w:p>
    <w:p w:rsidR="00863C11" w:rsidRPr="00723AE8" w:rsidRDefault="00863C11" w:rsidP="002221B1">
      <w:pPr>
        <w:spacing w:after="0" w:line="240" w:lineRule="auto"/>
        <w:ind w:firstLine="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This research is an explanatory research with the aim to examine the efficiency of the 10 largest banks in Indonesia using the Data Envelopment Analysis (DEA) model. The data were taken from each bank's financial statements from the Financial Service Authority (OJK) official website in 2017 and 2018 and from Investing.com for stock market value data. The size of the bank is assessed based on its assets at the end of 2017 and 2018. The ten banks are: BRI, Mandiri, BCA, BNI, BTN, NIAGA, PANIN, DANAMON, MAYBANK and NISP. This study measures bank efficiency in terms of profitability and marketing, using input and output variables as follows:</w:t>
      </w:r>
    </w:p>
    <w:p w:rsidR="007531D4" w:rsidRDefault="007531D4" w:rsidP="00863C11">
      <w:pPr>
        <w:spacing w:after="0" w:line="240" w:lineRule="auto"/>
        <w:jc w:val="both"/>
        <w:rPr>
          <w:rFonts w:ascii="Book Antiqua" w:eastAsia="Calibri" w:hAnsi="Book Antiqua" w:cs="Times New Roman"/>
          <w:sz w:val="20"/>
          <w:szCs w:val="20"/>
          <w:lang w:val="en-US"/>
        </w:rPr>
        <w:sectPr w:rsidR="007531D4" w:rsidSect="007531D4">
          <w:type w:val="continuous"/>
          <w:pgSz w:w="12240" w:h="15840"/>
          <w:pgMar w:top="1440" w:right="1440" w:bottom="1440" w:left="1440" w:header="720" w:footer="720" w:gutter="0"/>
          <w:cols w:num="2" w:space="720"/>
          <w:docGrid w:linePitch="360"/>
        </w:sectPr>
      </w:pPr>
    </w:p>
    <w:p w:rsidR="00863C11" w:rsidRPr="00723AE8" w:rsidRDefault="00863C11" w:rsidP="00863C11">
      <w:pPr>
        <w:spacing w:after="0" w:line="240" w:lineRule="auto"/>
        <w:jc w:val="both"/>
        <w:rPr>
          <w:rFonts w:ascii="Book Antiqua" w:eastAsia="Calibri" w:hAnsi="Book Antiqua" w:cs="Times New Roman"/>
          <w:sz w:val="20"/>
          <w:szCs w:val="20"/>
          <w:lang w:val="en-US"/>
        </w:rPr>
      </w:pPr>
    </w:p>
    <w:p w:rsidR="002221B1" w:rsidRPr="00723AE8" w:rsidRDefault="00863C11" w:rsidP="002221B1">
      <w:pPr>
        <w:spacing w:after="0" w:line="240" w:lineRule="auto"/>
        <w:jc w:val="center"/>
        <w:rPr>
          <w:rFonts w:ascii="Book Antiqua" w:eastAsia="Calibri" w:hAnsi="Book Antiqua" w:cs="Times New Roman"/>
          <w:b/>
          <w:sz w:val="20"/>
          <w:szCs w:val="20"/>
          <w:lang w:val="en-US"/>
        </w:rPr>
      </w:pPr>
      <w:r w:rsidRPr="00723AE8">
        <w:rPr>
          <w:rFonts w:ascii="Book Antiqua" w:eastAsia="Calibri" w:hAnsi="Book Antiqua" w:cs="Times New Roman"/>
          <w:b/>
          <w:sz w:val="20"/>
          <w:szCs w:val="20"/>
          <w:lang w:val="en-US"/>
        </w:rPr>
        <w:t xml:space="preserve">Table 1 </w:t>
      </w:r>
    </w:p>
    <w:p w:rsidR="00863C11" w:rsidRPr="00723AE8" w:rsidRDefault="00863C11" w:rsidP="002221B1">
      <w:pPr>
        <w:spacing w:after="0" w:line="240" w:lineRule="auto"/>
        <w:jc w:val="center"/>
        <w:rPr>
          <w:rFonts w:ascii="Book Antiqua" w:eastAsia="Calibri" w:hAnsi="Book Antiqua" w:cs="Times New Roman"/>
          <w:b/>
          <w:i/>
          <w:sz w:val="20"/>
          <w:szCs w:val="20"/>
          <w:lang w:val="en-US"/>
        </w:rPr>
      </w:pPr>
      <w:r w:rsidRPr="00723AE8">
        <w:rPr>
          <w:rFonts w:ascii="Book Antiqua" w:eastAsia="Calibri" w:hAnsi="Book Antiqua" w:cs="Times New Roman"/>
          <w:b/>
          <w:sz w:val="20"/>
          <w:szCs w:val="20"/>
          <w:lang w:val="en-US"/>
        </w:rPr>
        <w:t>Input and Output Variables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863C11" w:rsidRPr="00723AE8" w:rsidTr="002221B1">
        <w:tc>
          <w:tcPr>
            <w:tcW w:w="3192" w:type="dxa"/>
            <w:shd w:val="clear" w:color="auto" w:fill="auto"/>
          </w:tcPr>
          <w:p w:rsidR="00863C11" w:rsidRPr="00723AE8" w:rsidRDefault="00863C11" w:rsidP="00863C11">
            <w:pPr>
              <w:spacing w:after="0" w:line="240" w:lineRule="auto"/>
              <w:jc w:val="both"/>
              <w:rPr>
                <w:rFonts w:ascii="Book Antiqua" w:eastAsia="Calibri" w:hAnsi="Book Antiqua" w:cs="Times New Roman"/>
                <w:iCs/>
                <w:color w:val="000000"/>
                <w:sz w:val="20"/>
                <w:szCs w:val="20"/>
                <w:shd w:val="clear" w:color="auto" w:fill="FFFFFF"/>
                <w:lang w:val="en-US"/>
              </w:rPr>
            </w:pPr>
            <w:r w:rsidRPr="00723AE8">
              <w:rPr>
                <w:rFonts w:ascii="Book Antiqua" w:eastAsia="Calibri" w:hAnsi="Book Antiqua" w:cs="Times New Roman"/>
                <w:i/>
                <w:iCs/>
                <w:color w:val="000000"/>
                <w:sz w:val="20"/>
                <w:szCs w:val="20"/>
                <w:shd w:val="clear" w:color="auto" w:fill="FFFFFF"/>
                <w:lang w:val="en-US"/>
              </w:rPr>
              <w:t xml:space="preserve">Explanation </w:t>
            </w:r>
          </w:p>
        </w:tc>
        <w:tc>
          <w:tcPr>
            <w:tcW w:w="3192" w:type="dxa"/>
            <w:shd w:val="clear" w:color="auto" w:fill="auto"/>
          </w:tcPr>
          <w:p w:rsidR="00863C11" w:rsidRPr="00723AE8" w:rsidRDefault="00863C11" w:rsidP="00863C11">
            <w:pPr>
              <w:spacing w:after="0" w:line="240" w:lineRule="auto"/>
              <w:jc w:val="both"/>
              <w:rPr>
                <w:rFonts w:ascii="Book Antiqua" w:eastAsia="Calibri" w:hAnsi="Book Antiqua" w:cs="Times New Roman"/>
                <w:iCs/>
                <w:color w:val="000000"/>
                <w:sz w:val="20"/>
                <w:szCs w:val="20"/>
                <w:shd w:val="clear" w:color="auto" w:fill="FFFFFF"/>
                <w:lang w:val="en-US"/>
              </w:rPr>
            </w:pPr>
            <w:r w:rsidRPr="00723AE8">
              <w:rPr>
                <w:rFonts w:ascii="Book Antiqua" w:eastAsia="Calibri" w:hAnsi="Book Antiqua" w:cs="Times New Roman"/>
                <w:i/>
                <w:iCs/>
                <w:color w:val="000000"/>
                <w:sz w:val="20"/>
                <w:szCs w:val="20"/>
                <w:shd w:val="clear" w:color="auto" w:fill="FFFFFF"/>
                <w:lang w:val="en-US"/>
              </w:rPr>
              <w:t xml:space="preserve">Input </w:t>
            </w:r>
          </w:p>
        </w:tc>
        <w:tc>
          <w:tcPr>
            <w:tcW w:w="3192" w:type="dxa"/>
            <w:shd w:val="clear" w:color="auto" w:fill="auto"/>
          </w:tcPr>
          <w:p w:rsidR="00863C11" w:rsidRPr="00723AE8" w:rsidRDefault="00863C11" w:rsidP="00863C11">
            <w:pPr>
              <w:spacing w:after="0" w:line="240" w:lineRule="auto"/>
              <w:jc w:val="both"/>
              <w:rPr>
                <w:rFonts w:ascii="Book Antiqua" w:eastAsia="Calibri" w:hAnsi="Book Antiqua" w:cs="Times New Roman"/>
                <w:iCs/>
                <w:color w:val="000000"/>
                <w:sz w:val="20"/>
                <w:szCs w:val="20"/>
                <w:shd w:val="clear" w:color="auto" w:fill="FFFFFF"/>
                <w:lang w:val="en-US"/>
              </w:rPr>
            </w:pPr>
            <w:r w:rsidRPr="00723AE8">
              <w:rPr>
                <w:rFonts w:ascii="Book Antiqua" w:eastAsia="Calibri" w:hAnsi="Book Antiqua" w:cs="Times New Roman"/>
                <w:i/>
                <w:iCs/>
                <w:color w:val="000000"/>
                <w:sz w:val="20"/>
                <w:szCs w:val="20"/>
                <w:shd w:val="clear" w:color="auto" w:fill="FFFFFF"/>
                <w:lang w:val="en-US"/>
              </w:rPr>
              <w:t>Output</w:t>
            </w:r>
          </w:p>
        </w:tc>
      </w:tr>
      <w:tr w:rsidR="00863C11" w:rsidRPr="00723AE8" w:rsidTr="002221B1">
        <w:tc>
          <w:tcPr>
            <w:tcW w:w="3192" w:type="dxa"/>
            <w:shd w:val="clear" w:color="auto" w:fill="auto"/>
          </w:tcPr>
          <w:p w:rsidR="00863C11" w:rsidRPr="00723AE8" w:rsidRDefault="002221B1" w:rsidP="00863C11">
            <w:pPr>
              <w:spacing w:after="0" w:line="240" w:lineRule="auto"/>
              <w:jc w:val="both"/>
              <w:rPr>
                <w:rFonts w:ascii="Book Antiqua" w:eastAsia="Calibri" w:hAnsi="Book Antiqua" w:cs="Times New Roman"/>
                <w:iCs/>
                <w:color w:val="000000"/>
                <w:sz w:val="20"/>
                <w:szCs w:val="20"/>
                <w:shd w:val="clear" w:color="auto" w:fill="FFFFFF"/>
                <w:lang w:val="en-US"/>
              </w:rPr>
            </w:pPr>
            <w:r w:rsidRPr="00723AE8">
              <w:rPr>
                <w:rFonts w:ascii="Book Antiqua" w:eastAsia="Calibri" w:hAnsi="Book Antiqua" w:cs="Times New Roman"/>
                <w:i/>
                <w:iCs/>
                <w:color w:val="000000"/>
                <w:sz w:val="20"/>
                <w:szCs w:val="20"/>
                <w:shd w:val="clear" w:color="auto" w:fill="FFFFFF"/>
                <w:lang w:val="en-US"/>
              </w:rPr>
              <w:t>Profitability</w:t>
            </w:r>
          </w:p>
        </w:tc>
        <w:tc>
          <w:tcPr>
            <w:tcW w:w="3192" w:type="dxa"/>
            <w:shd w:val="clear" w:color="auto" w:fill="auto"/>
          </w:tcPr>
          <w:p w:rsidR="00863C11" w:rsidRPr="00723AE8" w:rsidRDefault="00863C11" w:rsidP="00863C11">
            <w:pPr>
              <w:numPr>
                <w:ilvl w:val="0"/>
                <w:numId w:val="4"/>
              </w:numPr>
              <w:spacing w:after="0" w:line="240" w:lineRule="auto"/>
              <w:ind w:left="228" w:hanging="180"/>
              <w:contextualSpacing/>
              <w:jc w:val="both"/>
              <w:rPr>
                <w:rFonts w:ascii="Book Antiqua" w:eastAsia="Calibri" w:hAnsi="Book Antiqua" w:cs="Times New Roman"/>
                <w:iCs/>
                <w:color w:val="000000"/>
                <w:sz w:val="20"/>
                <w:szCs w:val="20"/>
                <w:shd w:val="clear" w:color="auto" w:fill="FFFFFF"/>
                <w:lang w:val="en-US"/>
              </w:rPr>
            </w:pPr>
            <w:r w:rsidRPr="00723AE8">
              <w:rPr>
                <w:rFonts w:ascii="Book Antiqua" w:eastAsia="Calibri" w:hAnsi="Book Antiqua" w:cs="Times New Roman"/>
                <w:i/>
                <w:iCs/>
                <w:color w:val="000000"/>
                <w:sz w:val="20"/>
                <w:szCs w:val="20"/>
                <w:shd w:val="clear" w:color="auto" w:fill="FFFFFF"/>
                <w:lang w:val="en-US"/>
              </w:rPr>
              <w:t>Total Assets</w:t>
            </w:r>
          </w:p>
          <w:p w:rsidR="00863C11" w:rsidRPr="00723AE8" w:rsidRDefault="00863C11" w:rsidP="00863C11">
            <w:pPr>
              <w:numPr>
                <w:ilvl w:val="0"/>
                <w:numId w:val="4"/>
              </w:numPr>
              <w:spacing w:after="0" w:line="240" w:lineRule="auto"/>
              <w:ind w:left="228" w:hanging="180"/>
              <w:contextualSpacing/>
              <w:jc w:val="both"/>
              <w:rPr>
                <w:rFonts w:ascii="Book Antiqua" w:eastAsia="Calibri" w:hAnsi="Book Antiqua" w:cs="Times New Roman"/>
                <w:iCs/>
                <w:color w:val="000000"/>
                <w:sz w:val="20"/>
                <w:szCs w:val="20"/>
                <w:shd w:val="clear" w:color="auto" w:fill="FFFFFF"/>
                <w:lang w:val="en-US"/>
              </w:rPr>
            </w:pPr>
            <w:r w:rsidRPr="00723AE8">
              <w:rPr>
                <w:rFonts w:ascii="Book Antiqua" w:eastAsia="Calibri" w:hAnsi="Book Antiqua" w:cs="Times New Roman"/>
                <w:i/>
                <w:iCs/>
                <w:color w:val="000000"/>
                <w:sz w:val="20"/>
                <w:szCs w:val="20"/>
                <w:shd w:val="clear" w:color="auto" w:fill="FFFFFF"/>
                <w:lang w:val="en-US"/>
              </w:rPr>
              <w:t>Labor Costs</w:t>
            </w:r>
          </w:p>
          <w:p w:rsidR="00863C11" w:rsidRPr="00723AE8" w:rsidRDefault="00863C11" w:rsidP="00863C11">
            <w:pPr>
              <w:spacing w:after="0" w:line="240" w:lineRule="auto"/>
              <w:jc w:val="both"/>
              <w:rPr>
                <w:rFonts w:ascii="Book Antiqua" w:eastAsia="Calibri" w:hAnsi="Book Antiqua" w:cs="Times New Roman"/>
                <w:iCs/>
                <w:color w:val="000000"/>
                <w:sz w:val="20"/>
                <w:szCs w:val="20"/>
                <w:shd w:val="clear" w:color="auto" w:fill="FFFFFF"/>
                <w:lang w:val="en-US"/>
              </w:rPr>
            </w:pPr>
          </w:p>
        </w:tc>
        <w:tc>
          <w:tcPr>
            <w:tcW w:w="3192" w:type="dxa"/>
            <w:shd w:val="clear" w:color="auto" w:fill="auto"/>
          </w:tcPr>
          <w:p w:rsidR="00863C11" w:rsidRPr="00723AE8" w:rsidRDefault="00863C11" w:rsidP="00863C11">
            <w:pPr>
              <w:numPr>
                <w:ilvl w:val="0"/>
                <w:numId w:val="4"/>
              </w:numPr>
              <w:spacing w:after="0" w:line="240" w:lineRule="auto"/>
              <w:ind w:left="276" w:hanging="270"/>
              <w:contextualSpacing/>
              <w:jc w:val="both"/>
              <w:rPr>
                <w:rFonts w:ascii="Book Antiqua" w:eastAsia="Calibri" w:hAnsi="Book Antiqua" w:cs="Times New Roman"/>
                <w:iCs/>
                <w:color w:val="000000"/>
                <w:sz w:val="20"/>
                <w:szCs w:val="20"/>
                <w:shd w:val="clear" w:color="auto" w:fill="FFFFFF"/>
                <w:lang w:val="en-US"/>
              </w:rPr>
            </w:pPr>
            <w:r w:rsidRPr="00723AE8">
              <w:rPr>
                <w:rFonts w:ascii="Book Antiqua" w:eastAsia="Calibri" w:hAnsi="Book Antiqua" w:cs="Times New Roman"/>
                <w:i/>
                <w:iCs/>
                <w:color w:val="000000"/>
                <w:sz w:val="20"/>
                <w:szCs w:val="20"/>
                <w:shd w:val="clear" w:color="auto" w:fill="FFFFFF"/>
                <w:lang w:val="en-US"/>
              </w:rPr>
              <w:t>Earnings</w:t>
            </w:r>
          </w:p>
          <w:p w:rsidR="00863C11" w:rsidRPr="00723AE8" w:rsidRDefault="00863C11" w:rsidP="00863C11">
            <w:pPr>
              <w:numPr>
                <w:ilvl w:val="0"/>
                <w:numId w:val="4"/>
              </w:numPr>
              <w:spacing w:after="0" w:line="240" w:lineRule="auto"/>
              <w:ind w:left="276" w:hanging="270"/>
              <w:contextualSpacing/>
              <w:jc w:val="both"/>
              <w:rPr>
                <w:rFonts w:ascii="Book Antiqua" w:eastAsia="Calibri" w:hAnsi="Book Antiqua" w:cs="Times New Roman"/>
                <w:iCs/>
                <w:color w:val="000000"/>
                <w:sz w:val="20"/>
                <w:szCs w:val="20"/>
                <w:shd w:val="clear" w:color="auto" w:fill="FFFFFF"/>
                <w:lang w:val="en-US"/>
              </w:rPr>
            </w:pPr>
            <w:r w:rsidRPr="00723AE8">
              <w:rPr>
                <w:rFonts w:ascii="Book Antiqua" w:eastAsia="Calibri" w:hAnsi="Book Antiqua" w:cs="Times New Roman"/>
                <w:i/>
                <w:iCs/>
                <w:color w:val="000000"/>
                <w:sz w:val="20"/>
                <w:szCs w:val="20"/>
                <w:shd w:val="clear" w:color="auto" w:fill="FFFFFF"/>
                <w:lang w:val="en-US"/>
              </w:rPr>
              <w:t>Operating Income</w:t>
            </w:r>
          </w:p>
        </w:tc>
      </w:tr>
      <w:tr w:rsidR="00863C11" w:rsidRPr="00723AE8" w:rsidTr="002221B1">
        <w:tc>
          <w:tcPr>
            <w:tcW w:w="3192" w:type="dxa"/>
            <w:shd w:val="clear" w:color="auto" w:fill="auto"/>
          </w:tcPr>
          <w:p w:rsidR="00863C11" w:rsidRPr="00723AE8" w:rsidRDefault="00863C11" w:rsidP="00863C11">
            <w:pPr>
              <w:spacing w:after="0" w:line="240" w:lineRule="auto"/>
              <w:jc w:val="both"/>
              <w:rPr>
                <w:rFonts w:ascii="Book Antiqua" w:eastAsia="Calibri" w:hAnsi="Book Antiqua" w:cs="Times New Roman"/>
                <w:iCs/>
                <w:color w:val="000000"/>
                <w:sz w:val="20"/>
                <w:szCs w:val="20"/>
                <w:shd w:val="clear" w:color="auto" w:fill="FFFFFF"/>
                <w:lang w:val="en-US"/>
              </w:rPr>
            </w:pPr>
            <w:r w:rsidRPr="00723AE8">
              <w:rPr>
                <w:rFonts w:ascii="Book Antiqua" w:eastAsia="Calibri" w:hAnsi="Book Antiqua" w:cs="Times New Roman"/>
                <w:i/>
                <w:iCs/>
                <w:color w:val="000000"/>
                <w:sz w:val="20"/>
                <w:szCs w:val="20"/>
                <w:shd w:val="clear" w:color="auto" w:fill="FFFFFF"/>
                <w:lang w:val="en-US"/>
              </w:rPr>
              <w:t>Marketing  (1)</w:t>
            </w:r>
          </w:p>
        </w:tc>
        <w:tc>
          <w:tcPr>
            <w:tcW w:w="3192" w:type="dxa"/>
            <w:shd w:val="clear" w:color="auto" w:fill="auto"/>
          </w:tcPr>
          <w:p w:rsidR="00863C11" w:rsidRPr="00723AE8" w:rsidRDefault="00863C11" w:rsidP="00863C11">
            <w:pPr>
              <w:numPr>
                <w:ilvl w:val="0"/>
                <w:numId w:val="4"/>
              </w:numPr>
              <w:spacing w:after="0" w:line="240" w:lineRule="auto"/>
              <w:ind w:left="276" w:hanging="270"/>
              <w:contextualSpacing/>
              <w:jc w:val="both"/>
              <w:rPr>
                <w:rFonts w:ascii="Book Antiqua" w:eastAsia="Calibri" w:hAnsi="Book Antiqua" w:cs="Times New Roman"/>
                <w:iCs/>
                <w:color w:val="000000"/>
                <w:sz w:val="20"/>
                <w:szCs w:val="20"/>
                <w:shd w:val="clear" w:color="auto" w:fill="FFFFFF"/>
                <w:lang w:val="en-US"/>
              </w:rPr>
            </w:pPr>
            <w:r w:rsidRPr="00723AE8">
              <w:rPr>
                <w:rFonts w:ascii="Book Antiqua" w:eastAsia="Calibri" w:hAnsi="Book Antiqua" w:cs="Times New Roman"/>
                <w:i/>
                <w:iCs/>
                <w:color w:val="000000"/>
                <w:sz w:val="20"/>
                <w:szCs w:val="20"/>
                <w:shd w:val="clear" w:color="auto" w:fill="FFFFFF"/>
                <w:lang w:val="en-US"/>
              </w:rPr>
              <w:t>Earnings</w:t>
            </w:r>
          </w:p>
          <w:p w:rsidR="00863C11" w:rsidRPr="00723AE8" w:rsidRDefault="00863C11" w:rsidP="00863C11">
            <w:pPr>
              <w:numPr>
                <w:ilvl w:val="0"/>
                <w:numId w:val="4"/>
              </w:numPr>
              <w:spacing w:after="0" w:line="240" w:lineRule="auto"/>
              <w:ind w:left="276" w:hanging="270"/>
              <w:contextualSpacing/>
              <w:jc w:val="both"/>
              <w:rPr>
                <w:rFonts w:ascii="Book Antiqua" w:eastAsia="Calibri" w:hAnsi="Book Antiqua" w:cs="Times New Roman"/>
                <w:iCs/>
                <w:color w:val="000000"/>
                <w:sz w:val="20"/>
                <w:szCs w:val="20"/>
                <w:shd w:val="clear" w:color="auto" w:fill="FFFFFF"/>
                <w:lang w:val="en-US"/>
              </w:rPr>
            </w:pPr>
            <w:r w:rsidRPr="00723AE8">
              <w:rPr>
                <w:rFonts w:ascii="Book Antiqua" w:eastAsia="Calibri" w:hAnsi="Book Antiqua" w:cs="Times New Roman"/>
                <w:i/>
                <w:iCs/>
                <w:color w:val="000000"/>
                <w:sz w:val="20"/>
                <w:szCs w:val="20"/>
                <w:shd w:val="clear" w:color="auto" w:fill="FFFFFF"/>
                <w:lang w:val="en-US"/>
              </w:rPr>
              <w:t>Operat</w:t>
            </w:r>
            <w:r w:rsidR="008F7159">
              <w:rPr>
                <w:rFonts w:ascii="Book Antiqua" w:eastAsia="Calibri" w:hAnsi="Book Antiqua" w:cs="Times New Roman"/>
                <w:i/>
                <w:iCs/>
                <w:color w:val="000000"/>
                <w:sz w:val="20"/>
                <w:szCs w:val="20"/>
                <w:shd w:val="clear" w:color="auto" w:fill="FFFFFF"/>
                <w:lang w:val="en-US"/>
              </w:rPr>
              <w:t>i</w:t>
            </w:r>
            <w:r w:rsidRPr="00723AE8">
              <w:rPr>
                <w:rFonts w:ascii="Book Antiqua" w:eastAsia="Calibri" w:hAnsi="Book Antiqua" w:cs="Times New Roman"/>
                <w:i/>
                <w:iCs/>
                <w:color w:val="000000"/>
                <w:sz w:val="20"/>
                <w:szCs w:val="20"/>
                <w:shd w:val="clear" w:color="auto" w:fill="FFFFFF"/>
                <w:lang w:val="en-US"/>
              </w:rPr>
              <w:t>ng Income</w:t>
            </w:r>
          </w:p>
        </w:tc>
        <w:tc>
          <w:tcPr>
            <w:tcW w:w="3192" w:type="dxa"/>
            <w:shd w:val="clear" w:color="auto" w:fill="auto"/>
          </w:tcPr>
          <w:p w:rsidR="00863C11" w:rsidRPr="00723AE8" w:rsidRDefault="00863C11" w:rsidP="00863C11">
            <w:pPr>
              <w:numPr>
                <w:ilvl w:val="0"/>
                <w:numId w:val="4"/>
              </w:numPr>
              <w:spacing w:after="0" w:line="240" w:lineRule="auto"/>
              <w:ind w:left="276" w:hanging="270"/>
              <w:contextualSpacing/>
              <w:jc w:val="both"/>
              <w:rPr>
                <w:rFonts w:ascii="Book Antiqua" w:eastAsia="Calibri" w:hAnsi="Book Antiqua" w:cs="Times New Roman"/>
                <w:iCs/>
                <w:color w:val="000000"/>
                <w:sz w:val="20"/>
                <w:szCs w:val="20"/>
                <w:shd w:val="clear" w:color="auto" w:fill="FFFFFF"/>
                <w:lang w:val="en-US"/>
              </w:rPr>
            </w:pPr>
            <w:r w:rsidRPr="00723AE8">
              <w:rPr>
                <w:rFonts w:ascii="Book Antiqua" w:eastAsia="Calibri" w:hAnsi="Book Antiqua" w:cs="Times New Roman"/>
                <w:i/>
                <w:sz w:val="20"/>
                <w:szCs w:val="20"/>
                <w:lang w:val="en-US"/>
              </w:rPr>
              <w:t xml:space="preserve">Market value </w:t>
            </w:r>
          </w:p>
          <w:p w:rsidR="00863C11" w:rsidRPr="00723AE8" w:rsidRDefault="00863C11" w:rsidP="00863C11">
            <w:pPr>
              <w:numPr>
                <w:ilvl w:val="0"/>
                <w:numId w:val="4"/>
              </w:numPr>
              <w:spacing w:after="0" w:line="240" w:lineRule="auto"/>
              <w:ind w:left="276" w:hanging="270"/>
              <w:contextualSpacing/>
              <w:jc w:val="both"/>
              <w:rPr>
                <w:rFonts w:ascii="Book Antiqua" w:eastAsia="Calibri" w:hAnsi="Book Antiqua" w:cs="Times New Roman"/>
                <w:iCs/>
                <w:color w:val="000000"/>
                <w:sz w:val="20"/>
                <w:szCs w:val="20"/>
                <w:shd w:val="clear" w:color="auto" w:fill="FFFFFF"/>
                <w:lang w:val="en-US"/>
              </w:rPr>
            </w:pPr>
            <w:r w:rsidRPr="00723AE8">
              <w:rPr>
                <w:rFonts w:ascii="Book Antiqua" w:eastAsia="Calibri" w:hAnsi="Book Antiqua" w:cs="Times New Roman"/>
                <w:i/>
                <w:sz w:val="20"/>
                <w:szCs w:val="20"/>
                <w:lang w:val="en-US"/>
              </w:rPr>
              <w:t xml:space="preserve">Returns </w:t>
            </w:r>
            <w:r w:rsidRPr="00723AE8">
              <w:rPr>
                <w:rFonts w:ascii="Book Antiqua" w:eastAsia="Calibri" w:hAnsi="Book Antiqua" w:cs="Times New Roman"/>
                <w:sz w:val="20"/>
                <w:szCs w:val="20"/>
                <w:lang w:val="en-US"/>
              </w:rPr>
              <w:t xml:space="preserve"> </w:t>
            </w:r>
          </w:p>
          <w:p w:rsidR="00863C11" w:rsidRPr="00723AE8" w:rsidRDefault="00863C11" w:rsidP="00863C11">
            <w:pPr>
              <w:numPr>
                <w:ilvl w:val="0"/>
                <w:numId w:val="4"/>
              </w:numPr>
              <w:spacing w:after="0" w:line="240" w:lineRule="auto"/>
              <w:ind w:left="276" w:hanging="270"/>
              <w:contextualSpacing/>
              <w:jc w:val="both"/>
              <w:rPr>
                <w:rFonts w:ascii="Book Antiqua" w:eastAsia="Calibri" w:hAnsi="Book Antiqua" w:cs="Times New Roman"/>
                <w:iCs/>
                <w:color w:val="000000"/>
                <w:sz w:val="20"/>
                <w:szCs w:val="20"/>
                <w:shd w:val="clear" w:color="auto" w:fill="FFFFFF"/>
                <w:lang w:val="en-US"/>
              </w:rPr>
            </w:pPr>
            <w:r w:rsidRPr="00723AE8">
              <w:rPr>
                <w:rFonts w:ascii="Book Antiqua" w:eastAsia="Calibri" w:hAnsi="Book Antiqua" w:cs="Times New Roman"/>
                <w:i/>
                <w:sz w:val="20"/>
                <w:szCs w:val="20"/>
                <w:lang w:val="en-US"/>
              </w:rPr>
              <w:t>Earnings per share</w:t>
            </w:r>
          </w:p>
        </w:tc>
      </w:tr>
      <w:tr w:rsidR="00863C11" w:rsidRPr="00723AE8" w:rsidTr="002221B1">
        <w:tc>
          <w:tcPr>
            <w:tcW w:w="3192" w:type="dxa"/>
            <w:shd w:val="clear" w:color="auto" w:fill="auto"/>
          </w:tcPr>
          <w:p w:rsidR="00863C11" w:rsidRPr="00723AE8" w:rsidRDefault="00863C11" w:rsidP="00863C11">
            <w:pPr>
              <w:spacing w:after="0" w:line="240" w:lineRule="auto"/>
              <w:jc w:val="both"/>
              <w:rPr>
                <w:rFonts w:ascii="Book Antiqua" w:eastAsia="Calibri" w:hAnsi="Book Antiqua" w:cs="Times New Roman"/>
                <w:iCs/>
                <w:color w:val="000000"/>
                <w:sz w:val="20"/>
                <w:szCs w:val="20"/>
                <w:shd w:val="clear" w:color="auto" w:fill="FFFFFF"/>
                <w:lang w:val="en-US"/>
              </w:rPr>
            </w:pPr>
            <w:r w:rsidRPr="00723AE8">
              <w:rPr>
                <w:rFonts w:ascii="Book Antiqua" w:eastAsia="Calibri" w:hAnsi="Book Antiqua" w:cs="Times New Roman"/>
                <w:i/>
                <w:iCs/>
                <w:color w:val="000000"/>
                <w:sz w:val="20"/>
                <w:szCs w:val="20"/>
                <w:shd w:val="clear" w:color="auto" w:fill="FFFFFF"/>
                <w:lang w:val="en-US"/>
              </w:rPr>
              <w:t>Marketing  (2)</w:t>
            </w:r>
          </w:p>
        </w:tc>
        <w:tc>
          <w:tcPr>
            <w:tcW w:w="3192" w:type="dxa"/>
            <w:shd w:val="clear" w:color="auto" w:fill="auto"/>
          </w:tcPr>
          <w:p w:rsidR="00863C11" w:rsidRPr="00723AE8" w:rsidRDefault="00863C11" w:rsidP="00863C11">
            <w:pPr>
              <w:numPr>
                <w:ilvl w:val="0"/>
                <w:numId w:val="4"/>
              </w:numPr>
              <w:spacing w:after="0" w:line="240" w:lineRule="auto"/>
              <w:ind w:left="228" w:hanging="180"/>
              <w:contextualSpacing/>
              <w:jc w:val="both"/>
              <w:rPr>
                <w:rFonts w:ascii="Book Antiqua" w:eastAsia="Calibri" w:hAnsi="Book Antiqua" w:cs="Times New Roman"/>
                <w:iCs/>
                <w:color w:val="000000"/>
                <w:sz w:val="20"/>
                <w:szCs w:val="20"/>
                <w:shd w:val="clear" w:color="auto" w:fill="FFFFFF"/>
                <w:lang w:val="en-US"/>
              </w:rPr>
            </w:pPr>
            <w:r w:rsidRPr="00723AE8">
              <w:rPr>
                <w:rFonts w:ascii="Book Antiqua" w:eastAsia="Calibri" w:hAnsi="Book Antiqua" w:cs="Times New Roman"/>
                <w:i/>
                <w:iCs/>
                <w:color w:val="000000"/>
                <w:sz w:val="20"/>
                <w:szCs w:val="20"/>
                <w:shd w:val="clear" w:color="auto" w:fill="FFFFFF"/>
                <w:lang w:val="en-US"/>
              </w:rPr>
              <w:t>Total Assets</w:t>
            </w:r>
          </w:p>
          <w:p w:rsidR="00863C11" w:rsidRPr="00723AE8" w:rsidRDefault="00863C11" w:rsidP="00863C11">
            <w:pPr>
              <w:numPr>
                <w:ilvl w:val="0"/>
                <w:numId w:val="4"/>
              </w:numPr>
              <w:spacing w:after="0" w:line="240" w:lineRule="auto"/>
              <w:ind w:left="228" w:hanging="180"/>
              <w:contextualSpacing/>
              <w:jc w:val="both"/>
              <w:rPr>
                <w:rFonts w:ascii="Book Antiqua" w:eastAsia="Calibri" w:hAnsi="Book Antiqua" w:cs="Times New Roman"/>
                <w:iCs/>
                <w:color w:val="000000"/>
                <w:sz w:val="20"/>
                <w:szCs w:val="20"/>
                <w:shd w:val="clear" w:color="auto" w:fill="FFFFFF"/>
                <w:lang w:val="en-US"/>
              </w:rPr>
            </w:pPr>
            <w:r w:rsidRPr="00723AE8">
              <w:rPr>
                <w:rFonts w:ascii="Book Antiqua" w:eastAsia="Calibri" w:hAnsi="Book Antiqua" w:cs="Times New Roman"/>
                <w:i/>
                <w:iCs/>
                <w:color w:val="000000"/>
                <w:sz w:val="20"/>
                <w:szCs w:val="20"/>
                <w:shd w:val="clear" w:color="auto" w:fill="FFFFFF"/>
                <w:lang w:val="en-US"/>
              </w:rPr>
              <w:t>Labor Costs</w:t>
            </w:r>
          </w:p>
          <w:p w:rsidR="00863C11" w:rsidRPr="00723AE8" w:rsidRDefault="00863C11" w:rsidP="00863C11">
            <w:pPr>
              <w:spacing w:after="0" w:line="240" w:lineRule="auto"/>
              <w:jc w:val="both"/>
              <w:rPr>
                <w:rFonts w:ascii="Book Antiqua" w:eastAsia="Calibri" w:hAnsi="Book Antiqua" w:cs="Times New Roman"/>
                <w:iCs/>
                <w:color w:val="000000"/>
                <w:sz w:val="20"/>
                <w:szCs w:val="20"/>
                <w:shd w:val="clear" w:color="auto" w:fill="FFFFFF"/>
                <w:lang w:val="en-US"/>
              </w:rPr>
            </w:pPr>
          </w:p>
        </w:tc>
        <w:tc>
          <w:tcPr>
            <w:tcW w:w="3192" w:type="dxa"/>
            <w:shd w:val="clear" w:color="auto" w:fill="auto"/>
          </w:tcPr>
          <w:p w:rsidR="00863C11" w:rsidRPr="00723AE8" w:rsidRDefault="00863C11" w:rsidP="00863C11">
            <w:pPr>
              <w:numPr>
                <w:ilvl w:val="0"/>
                <w:numId w:val="4"/>
              </w:numPr>
              <w:spacing w:after="0" w:line="240" w:lineRule="auto"/>
              <w:ind w:left="276" w:hanging="270"/>
              <w:contextualSpacing/>
              <w:jc w:val="both"/>
              <w:rPr>
                <w:rFonts w:ascii="Book Antiqua" w:eastAsia="Calibri" w:hAnsi="Book Antiqua" w:cs="Times New Roman"/>
                <w:iCs/>
                <w:color w:val="000000"/>
                <w:sz w:val="20"/>
                <w:szCs w:val="20"/>
                <w:shd w:val="clear" w:color="auto" w:fill="FFFFFF"/>
                <w:lang w:val="en-US"/>
              </w:rPr>
            </w:pPr>
            <w:r w:rsidRPr="00723AE8">
              <w:rPr>
                <w:rFonts w:ascii="Book Antiqua" w:eastAsia="Calibri" w:hAnsi="Book Antiqua" w:cs="Times New Roman"/>
                <w:i/>
                <w:sz w:val="20"/>
                <w:szCs w:val="20"/>
                <w:lang w:val="en-US"/>
              </w:rPr>
              <w:t xml:space="preserve">Market value, </w:t>
            </w:r>
          </w:p>
          <w:p w:rsidR="00863C11" w:rsidRPr="00723AE8" w:rsidRDefault="00863C11" w:rsidP="00863C11">
            <w:pPr>
              <w:numPr>
                <w:ilvl w:val="0"/>
                <w:numId w:val="4"/>
              </w:numPr>
              <w:spacing w:after="0" w:line="240" w:lineRule="auto"/>
              <w:ind w:left="276" w:hanging="270"/>
              <w:contextualSpacing/>
              <w:jc w:val="both"/>
              <w:rPr>
                <w:rFonts w:ascii="Book Antiqua" w:eastAsia="Calibri" w:hAnsi="Book Antiqua" w:cs="Times New Roman"/>
                <w:iCs/>
                <w:color w:val="000000"/>
                <w:sz w:val="20"/>
                <w:szCs w:val="20"/>
                <w:shd w:val="clear" w:color="auto" w:fill="FFFFFF"/>
                <w:lang w:val="en-US"/>
              </w:rPr>
            </w:pPr>
            <w:r w:rsidRPr="00723AE8">
              <w:rPr>
                <w:rFonts w:ascii="Book Antiqua" w:eastAsia="Calibri" w:hAnsi="Book Antiqua" w:cs="Times New Roman"/>
                <w:i/>
                <w:sz w:val="20"/>
                <w:szCs w:val="20"/>
                <w:lang w:val="en-US"/>
              </w:rPr>
              <w:t xml:space="preserve">Returns </w:t>
            </w:r>
            <w:r w:rsidRPr="00723AE8">
              <w:rPr>
                <w:rFonts w:ascii="Book Antiqua" w:eastAsia="Calibri" w:hAnsi="Book Antiqua" w:cs="Times New Roman"/>
                <w:sz w:val="20"/>
                <w:szCs w:val="20"/>
                <w:lang w:val="en-US"/>
              </w:rPr>
              <w:t xml:space="preserve"> </w:t>
            </w:r>
          </w:p>
          <w:p w:rsidR="00863C11" w:rsidRPr="00723AE8" w:rsidRDefault="00863C11" w:rsidP="00863C11">
            <w:pPr>
              <w:numPr>
                <w:ilvl w:val="0"/>
                <w:numId w:val="4"/>
              </w:numPr>
              <w:spacing w:after="0" w:line="240" w:lineRule="auto"/>
              <w:ind w:left="276" w:hanging="270"/>
              <w:contextualSpacing/>
              <w:jc w:val="both"/>
              <w:rPr>
                <w:rFonts w:ascii="Book Antiqua" w:eastAsia="Calibri" w:hAnsi="Book Antiqua" w:cs="Times New Roman"/>
                <w:iCs/>
                <w:color w:val="000000"/>
                <w:sz w:val="20"/>
                <w:szCs w:val="20"/>
                <w:shd w:val="clear" w:color="auto" w:fill="FFFFFF"/>
                <w:lang w:val="en-US"/>
              </w:rPr>
            </w:pPr>
            <w:r w:rsidRPr="00723AE8">
              <w:rPr>
                <w:rFonts w:ascii="Book Antiqua" w:eastAsia="Calibri" w:hAnsi="Book Antiqua" w:cs="Times New Roman"/>
                <w:i/>
                <w:sz w:val="20"/>
                <w:szCs w:val="20"/>
                <w:lang w:val="en-US"/>
              </w:rPr>
              <w:t>Earnings per share</w:t>
            </w:r>
          </w:p>
        </w:tc>
      </w:tr>
    </w:tbl>
    <w:p w:rsidR="00863C11" w:rsidRPr="00723AE8" w:rsidRDefault="00863C11" w:rsidP="00863C11">
      <w:pPr>
        <w:spacing w:after="0" w:line="240" w:lineRule="auto"/>
        <w:jc w:val="both"/>
        <w:rPr>
          <w:rFonts w:ascii="Book Antiqua" w:eastAsia="Calibri" w:hAnsi="Book Antiqua" w:cs="Times New Roman"/>
          <w:iCs/>
          <w:color w:val="000000"/>
          <w:sz w:val="20"/>
          <w:szCs w:val="20"/>
          <w:shd w:val="clear" w:color="auto" w:fill="FFFFFF"/>
          <w:lang w:val="en-US"/>
        </w:rPr>
      </w:pPr>
      <w:r w:rsidRPr="00723AE8">
        <w:rPr>
          <w:rFonts w:ascii="Book Antiqua" w:eastAsia="Calibri" w:hAnsi="Book Antiqua" w:cs="Times New Roman"/>
          <w:iCs/>
          <w:color w:val="000000"/>
          <w:sz w:val="20"/>
          <w:szCs w:val="20"/>
          <w:shd w:val="clear" w:color="auto" w:fill="FFFFFF"/>
          <w:lang w:val="en-US"/>
        </w:rPr>
        <w:t>Note:</w:t>
      </w:r>
    </w:p>
    <w:p w:rsidR="00F00584" w:rsidRDefault="00F00584" w:rsidP="00863C11">
      <w:pPr>
        <w:numPr>
          <w:ilvl w:val="0"/>
          <w:numId w:val="13"/>
        </w:numPr>
        <w:spacing w:after="0" w:line="240" w:lineRule="auto"/>
        <w:contextualSpacing/>
        <w:jc w:val="both"/>
        <w:rPr>
          <w:rFonts w:ascii="Book Antiqua" w:eastAsia="Calibri" w:hAnsi="Book Antiqua" w:cs="Times New Roman"/>
          <w:iCs/>
          <w:color w:val="000000"/>
          <w:sz w:val="20"/>
          <w:szCs w:val="20"/>
          <w:shd w:val="clear" w:color="auto" w:fill="FFFFFF"/>
          <w:lang w:val="en-US"/>
        </w:rPr>
        <w:sectPr w:rsidR="00F00584" w:rsidSect="007531D4">
          <w:type w:val="continuous"/>
          <w:pgSz w:w="12240" w:h="15840"/>
          <w:pgMar w:top="1440" w:right="1440" w:bottom="1440" w:left="1440" w:header="720" w:footer="720" w:gutter="0"/>
          <w:cols w:space="720"/>
          <w:docGrid w:linePitch="360"/>
        </w:sectPr>
      </w:pPr>
    </w:p>
    <w:p w:rsidR="00863C11" w:rsidRPr="00723AE8" w:rsidRDefault="00863C11" w:rsidP="00863C11">
      <w:pPr>
        <w:numPr>
          <w:ilvl w:val="0"/>
          <w:numId w:val="13"/>
        </w:numPr>
        <w:spacing w:after="0" w:line="240" w:lineRule="auto"/>
        <w:contextualSpacing/>
        <w:jc w:val="both"/>
        <w:rPr>
          <w:rFonts w:ascii="Book Antiqua" w:eastAsia="Calibri" w:hAnsi="Book Antiqua" w:cs="Times New Roman"/>
          <w:iCs/>
          <w:color w:val="000000"/>
          <w:sz w:val="20"/>
          <w:szCs w:val="20"/>
          <w:shd w:val="clear" w:color="auto" w:fill="FFFFFF"/>
          <w:lang w:val="en-US"/>
        </w:rPr>
      </w:pPr>
      <w:r w:rsidRPr="00723AE8">
        <w:rPr>
          <w:rFonts w:ascii="Book Antiqua" w:eastAsia="Calibri" w:hAnsi="Book Antiqua" w:cs="Times New Roman"/>
          <w:iCs/>
          <w:color w:val="000000"/>
          <w:sz w:val="20"/>
          <w:szCs w:val="20"/>
          <w:shd w:val="clear" w:color="auto" w:fill="FFFFFF"/>
          <w:lang w:val="en-US"/>
        </w:rPr>
        <w:t>The values of total assets, labor costs, and operating income are based on the bank's financial statements at the end of 2017 and 2018.</w:t>
      </w:r>
    </w:p>
    <w:p w:rsidR="00863C11" w:rsidRPr="00723AE8" w:rsidRDefault="00863C11" w:rsidP="00863C11">
      <w:pPr>
        <w:numPr>
          <w:ilvl w:val="0"/>
          <w:numId w:val="13"/>
        </w:numPr>
        <w:spacing w:after="0" w:line="240" w:lineRule="auto"/>
        <w:contextualSpacing/>
        <w:jc w:val="both"/>
        <w:rPr>
          <w:rFonts w:ascii="Book Antiqua" w:eastAsia="Calibri" w:hAnsi="Book Antiqua" w:cs="Times New Roman"/>
          <w:iCs/>
          <w:color w:val="000000"/>
          <w:sz w:val="20"/>
          <w:szCs w:val="20"/>
          <w:shd w:val="clear" w:color="auto" w:fill="FFFFFF"/>
          <w:lang w:val="en-US"/>
        </w:rPr>
      </w:pPr>
      <w:r w:rsidRPr="00723AE8">
        <w:rPr>
          <w:rFonts w:ascii="Book Antiqua" w:eastAsia="Calibri" w:hAnsi="Book Antiqua" w:cs="Times New Roman"/>
          <w:iCs/>
          <w:color w:val="000000"/>
          <w:sz w:val="20"/>
          <w:szCs w:val="20"/>
          <w:shd w:val="clear" w:color="auto" w:fill="FFFFFF"/>
          <w:lang w:val="en-US"/>
        </w:rPr>
        <w:t>Market value is the stock price based on a report from Investing.com</w:t>
      </w:r>
    </w:p>
    <w:p w:rsidR="00863C11" w:rsidRPr="00723AE8" w:rsidRDefault="00863C11" w:rsidP="00863C11">
      <w:pPr>
        <w:numPr>
          <w:ilvl w:val="0"/>
          <w:numId w:val="13"/>
        </w:numPr>
        <w:spacing w:after="0" w:line="240" w:lineRule="auto"/>
        <w:contextualSpacing/>
        <w:jc w:val="both"/>
        <w:rPr>
          <w:rFonts w:ascii="Book Antiqua" w:eastAsia="Calibri" w:hAnsi="Book Antiqua" w:cs="Times New Roman"/>
          <w:iCs/>
          <w:color w:val="000000"/>
          <w:sz w:val="20"/>
          <w:szCs w:val="20"/>
          <w:shd w:val="clear" w:color="auto" w:fill="FFFFFF"/>
          <w:lang w:val="en-US"/>
        </w:rPr>
      </w:pPr>
      <w:r w:rsidRPr="00723AE8">
        <w:rPr>
          <w:rFonts w:ascii="Book Antiqua" w:eastAsia="Calibri" w:hAnsi="Book Antiqua" w:cs="Times New Roman"/>
          <w:iCs/>
          <w:color w:val="000000"/>
          <w:sz w:val="20"/>
          <w:szCs w:val="20"/>
          <w:shd w:val="clear" w:color="auto" w:fill="FFFFFF"/>
          <w:lang w:val="en-US"/>
        </w:rPr>
        <w:t>Return = [stock price t- (t-1) + Dividend per stock] / t-1 stock price</w:t>
      </w:r>
    </w:p>
    <w:p w:rsidR="00863C11" w:rsidRPr="00723AE8" w:rsidRDefault="00863C11" w:rsidP="00863C11">
      <w:pPr>
        <w:numPr>
          <w:ilvl w:val="0"/>
          <w:numId w:val="13"/>
        </w:numPr>
        <w:spacing w:after="0" w:line="240" w:lineRule="auto"/>
        <w:contextualSpacing/>
        <w:jc w:val="both"/>
        <w:rPr>
          <w:rFonts w:ascii="Book Antiqua" w:eastAsia="Calibri" w:hAnsi="Book Antiqua" w:cs="Times New Roman"/>
          <w:iCs/>
          <w:color w:val="000000"/>
          <w:sz w:val="20"/>
          <w:szCs w:val="20"/>
          <w:shd w:val="clear" w:color="auto" w:fill="FFFFFF"/>
          <w:lang w:val="en-US"/>
        </w:rPr>
      </w:pPr>
      <w:r w:rsidRPr="00723AE8">
        <w:rPr>
          <w:rFonts w:ascii="Book Antiqua" w:eastAsia="Calibri" w:hAnsi="Book Antiqua" w:cs="Times New Roman"/>
          <w:iCs/>
          <w:color w:val="000000"/>
          <w:sz w:val="20"/>
          <w:szCs w:val="20"/>
          <w:shd w:val="clear" w:color="auto" w:fill="FFFFFF"/>
          <w:lang w:val="en-US"/>
        </w:rPr>
        <w:t>Earning</w:t>
      </w:r>
      <w:r w:rsidR="00A0356C">
        <w:rPr>
          <w:rFonts w:ascii="Book Antiqua" w:eastAsia="Calibri" w:hAnsi="Book Antiqua" w:cs="Times New Roman"/>
          <w:iCs/>
          <w:color w:val="000000"/>
          <w:sz w:val="20"/>
          <w:szCs w:val="20"/>
          <w:shd w:val="clear" w:color="auto" w:fill="FFFFFF"/>
        </w:rPr>
        <w:t>s</w:t>
      </w:r>
      <w:r w:rsidR="00A0356C">
        <w:rPr>
          <w:rFonts w:ascii="Book Antiqua" w:eastAsia="Calibri" w:hAnsi="Book Antiqua" w:cs="Times New Roman"/>
          <w:iCs/>
          <w:color w:val="000000"/>
          <w:sz w:val="20"/>
          <w:szCs w:val="20"/>
          <w:shd w:val="clear" w:color="auto" w:fill="FFFFFF"/>
          <w:lang w:val="en-US"/>
        </w:rPr>
        <w:t xml:space="preserve"> per </w:t>
      </w:r>
      <w:r w:rsidR="00A0356C">
        <w:rPr>
          <w:rFonts w:ascii="Book Antiqua" w:eastAsia="Calibri" w:hAnsi="Book Antiqua" w:cs="Times New Roman"/>
          <w:iCs/>
          <w:color w:val="000000"/>
          <w:sz w:val="20"/>
          <w:szCs w:val="20"/>
          <w:shd w:val="clear" w:color="auto" w:fill="FFFFFF"/>
        </w:rPr>
        <w:t>stock</w:t>
      </w:r>
      <w:r w:rsidRPr="00723AE8">
        <w:rPr>
          <w:rFonts w:ascii="Book Antiqua" w:eastAsia="Calibri" w:hAnsi="Book Antiqua" w:cs="Times New Roman"/>
          <w:iCs/>
          <w:color w:val="000000"/>
          <w:sz w:val="20"/>
          <w:szCs w:val="20"/>
          <w:shd w:val="clear" w:color="auto" w:fill="FFFFFF"/>
          <w:lang w:val="en-US"/>
        </w:rPr>
        <w:t xml:space="preserve"> = earnings / number of stocks outstanding.</w:t>
      </w:r>
    </w:p>
    <w:p w:rsidR="00863C11" w:rsidRPr="00A0356C" w:rsidRDefault="00863C11" w:rsidP="00863C11">
      <w:pPr>
        <w:spacing w:after="0" w:line="240" w:lineRule="auto"/>
        <w:ind w:left="720"/>
        <w:jc w:val="both"/>
        <w:rPr>
          <w:rFonts w:ascii="Book Antiqua" w:eastAsia="Calibri" w:hAnsi="Book Antiqua" w:cs="Times New Roman"/>
          <w:iCs/>
          <w:color w:val="000000"/>
          <w:sz w:val="20"/>
          <w:szCs w:val="20"/>
          <w:shd w:val="clear" w:color="auto" w:fill="FFFFFF"/>
        </w:rPr>
      </w:pPr>
    </w:p>
    <w:p w:rsidR="00863C11" w:rsidRPr="00723AE8" w:rsidRDefault="00863C11" w:rsidP="002221B1">
      <w:pPr>
        <w:numPr>
          <w:ilvl w:val="0"/>
          <w:numId w:val="17"/>
        </w:numPr>
        <w:tabs>
          <w:tab w:val="left" w:pos="284"/>
        </w:tabs>
        <w:spacing w:after="0" w:line="240" w:lineRule="auto"/>
        <w:ind w:left="284" w:hanging="284"/>
        <w:jc w:val="both"/>
        <w:rPr>
          <w:rFonts w:ascii="Book Antiqua" w:eastAsia="Calibri" w:hAnsi="Book Antiqua" w:cs="Times New Roman"/>
          <w:b/>
          <w:sz w:val="20"/>
          <w:szCs w:val="20"/>
          <w:lang w:val="en-US"/>
        </w:rPr>
      </w:pPr>
      <w:r w:rsidRPr="00723AE8">
        <w:rPr>
          <w:rFonts w:ascii="Book Antiqua" w:eastAsia="Calibri" w:hAnsi="Book Antiqua" w:cs="Times New Roman"/>
          <w:b/>
          <w:iCs/>
          <w:color w:val="000000"/>
          <w:sz w:val="20"/>
          <w:szCs w:val="20"/>
          <w:shd w:val="clear" w:color="auto" w:fill="FFFFFF"/>
          <w:lang w:val="en-US"/>
        </w:rPr>
        <w:t>ANALYSIS AND DISCUSSION</w:t>
      </w:r>
      <w:r w:rsidRPr="00723AE8">
        <w:rPr>
          <w:rFonts w:ascii="Book Antiqua" w:eastAsia="Calibri" w:hAnsi="Book Antiqua" w:cs="Times New Roman"/>
          <w:b/>
          <w:sz w:val="20"/>
          <w:szCs w:val="20"/>
          <w:lang w:val="en-US"/>
        </w:rPr>
        <w:t xml:space="preserve"> </w:t>
      </w:r>
    </w:p>
    <w:p w:rsidR="00863C11" w:rsidRPr="00723AE8" w:rsidRDefault="00863C11" w:rsidP="002221B1">
      <w:pPr>
        <w:spacing w:after="0" w:line="240" w:lineRule="auto"/>
        <w:ind w:firstLine="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The discussion is carried out by first presenting the output of the DEA software in the form of profitability and marketing efficiency values and then potential improvements that must be done by each bank in order to achieve good efficiency.</w:t>
      </w:r>
    </w:p>
    <w:p w:rsidR="00863C11" w:rsidRPr="00723AE8" w:rsidRDefault="00863C11" w:rsidP="00863C11">
      <w:pPr>
        <w:spacing w:after="0" w:line="240" w:lineRule="auto"/>
        <w:jc w:val="both"/>
        <w:rPr>
          <w:rFonts w:ascii="Book Antiqua" w:eastAsia="Calibri" w:hAnsi="Book Antiqua" w:cs="Times New Roman"/>
          <w:sz w:val="20"/>
          <w:szCs w:val="20"/>
          <w:lang w:val="en-US"/>
        </w:rPr>
      </w:pPr>
    </w:p>
    <w:p w:rsidR="002221B1" w:rsidRPr="00723AE8" w:rsidRDefault="00863C11" w:rsidP="00863C11">
      <w:pPr>
        <w:spacing w:after="0" w:line="240" w:lineRule="auto"/>
        <w:contextualSpacing/>
        <w:jc w:val="both"/>
        <w:rPr>
          <w:rFonts w:ascii="Book Antiqua" w:eastAsia="Calibri" w:hAnsi="Book Antiqua" w:cs="Times New Roman"/>
          <w:b/>
          <w:sz w:val="20"/>
          <w:szCs w:val="20"/>
          <w:lang w:val="en-US"/>
        </w:rPr>
      </w:pPr>
      <w:r w:rsidRPr="00723AE8">
        <w:rPr>
          <w:rFonts w:ascii="Book Antiqua" w:eastAsia="Calibri" w:hAnsi="Book Antiqua" w:cs="Times New Roman"/>
          <w:b/>
          <w:sz w:val="20"/>
          <w:szCs w:val="20"/>
          <w:lang w:val="en-US"/>
        </w:rPr>
        <w:t>The Va</w:t>
      </w:r>
      <w:r w:rsidR="00BC1273">
        <w:rPr>
          <w:rFonts w:ascii="Book Antiqua" w:eastAsia="Calibri" w:hAnsi="Book Antiqua" w:cs="Times New Roman"/>
          <w:b/>
          <w:sz w:val="20"/>
          <w:szCs w:val="20"/>
          <w:lang w:val="en-US"/>
        </w:rPr>
        <w:t>lue of Bank Profitability</w:t>
      </w:r>
      <w:r w:rsidR="00BC1273">
        <w:rPr>
          <w:rFonts w:ascii="Book Antiqua" w:eastAsia="Calibri" w:hAnsi="Book Antiqua" w:cs="Times New Roman"/>
          <w:b/>
          <w:sz w:val="20"/>
          <w:szCs w:val="20"/>
        </w:rPr>
        <w:t xml:space="preserve"> </w:t>
      </w:r>
      <w:r w:rsidR="00BC1273">
        <w:rPr>
          <w:rFonts w:ascii="Book Antiqua" w:eastAsia="Calibri" w:hAnsi="Book Antiqua" w:cs="Times New Roman"/>
          <w:b/>
          <w:sz w:val="20"/>
          <w:szCs w:val="20"/>
          <w:lang w:val="en-US"/>
        </w:rPr>
        <w:t xml:space="preserve">Efficiency 2017 </w:t>
      </w:r>
      <w:r w:rsidR="00BC1273">
        <w:rPr>
          <w:rFonts w:ascii="Book Antiqua" w:eastAsia="Calibri" w:hAnsi="Book Antiqua" w:cs="Times New Roman"/>
          <w:b/>
          <w:sz w:val="20"/>
          <w:szCs w:val="20"/>
        </w:rPr>
        <w:t>-</w:t>
      </w:r>
      <w:r w:rsidRPr="00723AE8">
        <w:rPr>
          <w:rFonts w:ascii="Book Antiqua" w:eastAsia="Calibri" w:hAnsi="Book Antiqua" w:cs="Times New Roman"/>
          <w:b/>
          <w:sz w:val="20"/>
          <w:szCs w:val="20"/>
          <w:lang w:val="en-US"/>
        </w:rPr>
        <w:t xml:space="preserve"> 2018 </w:t>
      </w:r>
    </w:p>
    <w:p w:rsidR="00863C11" w:rsidRPr="00723AE8" w:rsidRDefault="00863C11" w:rsidP="002221B1">
      <w:pPr>
        <w:spacing w:after="0" w:line="240" w:lineRule="auto"/>
        <w:ind w:firstLine="426"/>
        <w:contextualSpacing/>
        <w:jc w:val="both"/>
        <w:rPr>
          <w:rFonts w:ascii="Book Antiqua" w:eastAsia="Calibri" w:hAnsi="Book Antiqua" w:cs="Times New Roman"/>
          <w:b/>
          <w:sz w:val="20"/>
          <w:szCs w:val="20"/>
          <w:lang w:val="en-US"/>
        </w:rPr>
      </w:pPr>
      <w:r w:rsidRPr="00723AE8">
        <w:rPr>
          <w:rFonts w:ascii="Book Antiqua" w:eastAsia="Calibri" w:hAnsi="Book Antiqua" w:cs="Times New Roman"/>
          <w:sz w:val="20"/>
          <w:szCs w:val="20"/>
          <w:lang w:val="en-US"/>
        </w:rPr>
        <w:t>From the results of the DEA analysis, it is obtained the ranking of the profitability efficie</w:t>
      </w:r>
      <w:r w:rsidR="00BC1273">
        <w:rPr>
          <w:rFonts w:ascii="Book Antiqua" w:eastAsia="Calibri" w:hAnsi="Book Antiqua" w:cs="Times New Roman"/>
          <w:sz w:val="20"/>
          <w:szCs w:val="20"/>
          <w:lang w:val="en-US"/>
        </w:rPr>
        <w:t xml:space="preserve">ncy values for each bank as in </w:t>
      </w:r>
      <w:r w:rsidR="00BC1273">
        <w:rPr>
          <w:rFonts w:ascii="Book Antiqua" w:eastAsia="Calibri" w:hAnsi="Book Antiqua" w:cs="Times New Roman"/>
          <w:sz w:val="20"/>
          <w:szCs w:val="20"/>
        </w:rPr>
        <w:t>T</w:t>
      </w:r>
      <w:r w:rsidRPr="00723AE8">
        <w:rPr>
          <w:rFonts w:ascii="Book Antiqua" w:eastAsia="Calibri" w:hAnsi="Book Antiqua" w:cs="Times New Roman"/>
          <w:sz w:val="20"/>
          <w:szCs w:val="20"/>
          <w:lang w:val="en-US"/>
        </w:rPr>
        <w:t xml:space="preserve">able 2 (Mulyadi 2016). A value of 100% means that the bank’s performance is good, a value of 90% - 99% means </w:t>
      </w:r>
      <w:r w:rsidR="00BC1273">
        <w:rPr>
          <w:rFonts w:ascii="Book Antiqua" w:eastAsia="Calibri" w:hAnsi="Book Antiqua" w:cs="Times New Roman"/>
          <w:sz w:val="20"/>
          <w:szCs w:val="20"/>
        </w:rPr>
        <w:t xml:space="preserve">that </w:t>
      </w:r>
      <w:r w:rsidRPr="00723AE8">
        <w:rPr>
          <w:rFonts w:ascii="Book Antiqua" w:eastAsia="Calibri" w:hAnsi="Book Antiqua" w:cs="Times New Roman"/>
          <w:sz w:val="20"/>
          <w:szCs w:val="20"/>
          <w:lang w:val="en-US"/>
        </w:rPr>
        <w:t>the bank's performance is fairly good</w:t>
      </w:r>
      <w:r w:rsidR="00BC1273">
        <w:rPr>
          <w:rFonts w:ascii="Book Antiqua" w:eastAsia="Calibri" w:hAnsi="Book Antiqua" w:cs="Times New Roman"/>
          <w:sz w:val="20"/>
          <w:szCs w:val="20"/>
        </w:rPr>
        <w:t>,</w:t>
      </w:r>
      <w:r w:rsidRPr="00723AE8">
        <w:rPr>
          <w:rFonts w:ascii="Book Antiqua" w:eastAsia="Calibri" w:hAnsi="Book Antiqua" w:cs="Times New Roman"/>
          <w:sz w:val="20"/>
          <w:szCs w:val="20"/>
          <w:lang w:val="en-US"/>
        </w:rPr>
        <w:t xml:space="preserve"> and a value below 90% means </w:t>
      </w:r>
      <w:r w:rsidR="00BC1273">
        <w:rPr>
          <w:rFonts w:ascii="Book Antiqua" w:eastAsia="Calibri" w:hAnsi="Book Antiqua" w:cs="Times New Roman"/>
          <w:sz w:val="20"/>
          <w:szCs w:val="20"/>
        </w:rPr>
        <w:t xml:space="preserve">that the performance is </w:t>
      </w:r>
      <w:r w:rsidRPr="00723AE8">
        <w:rPr>
          <w:rFonts w:ascii="Book Antiqua" w:eastAsia="Calibri" w:hAnsi="Book Antiqua" w:cs="Times New Roman"/>
          <w:sz w:val="20"/>
          <w:szCs w:val="20"/>
          <w:lang w:val="en-US"/>
        </w:rPr>
        <w:t>not good.</w:t>
      </w:r>
    </w:p>
    <w:p w:rsidR="00F00584" w:rsidRDefault="00F00584" w:rsidP="00863C11">
      <w:pPr>
        <w:spacing w:after="0" w:line="240" w:lineRule="auto"/>
        <w:jc w:val="both"/>
        <w:rPr>
          <w:rFonts w:ascii="Book Antiqua" w:eastAsia="Calibri" w:hAnsi="Book Antiqua" w:cs="Times New Roman"/>
          <w:sz w:val="20"/>
          <w:szCs w:val="20"/>
          <w:lang w:val="en-US"/>
        </w:rPr>
        <w:sectPr w:rsidR="00F00584" w:rsidSect="00F00584">
          <w:type w:val="continuous"/>
          <w:pgSz w:w="12240" w:h="15840"/>
          <w:pgMar w:top="1440" w:right="1440" w:bottom="1440" w:left="1440" w:header="720" w:footer="720" w:gutter="0"/>
          <w:cols w:num="2" w:space="720"/>
          <w:docGrid w:linePitch="360"/>
        </w:sectPr>
      </w:pPr>
    </w:p>
    <w:p w:rsidR="00863C11" w:rsidRPr="00723AE8" w:rsidRDefault="00863C11" w:rsidP="00863C11">
      <w:pPr>
        <w:spacing w:after="0" w:line="240" w:lineRule="auto"/>
        <w:jc w:val="both"/>
        <w:rPr>
          <w:rFonts w:ascii="Book Antiqua" w:eastAsia="Calibri" w:hAnsi="Book Antiqua" w:cs="Times New Roman"/>
          <w:sz w:val="20"/>
          <w:szCs w:val="20"/>
          <w:lang w:val="en-US"/>
        </w:rPr>
      </w:pPr>
    </w:p>
    <w:p w:rsidR="00863C11" w:rsidRPr="00723AE8" w:rsidRDefault="00863C11" w:rsidP="00863C11">
      <w:pPr>
        <w:spacing w:after="0" w:line="240" w:lineRule="auto"/>
        <w:jc w:val="center"/>
        <w:rPr>
          <w:rFonts w:ascii="Book Antiqua" w:eastAsia="Calibri" w:hAnsi="Book Antiqua" w:cs="Times New Roman"/>
          <w:b/>
          <w:sz w:val="20"/>
          <w:szCs w:val="20"/>
          <w:lang w:val="en-US"/>
        </w:rPr>
      </w:pPr>
      <w:r w:rsidRPr="00723AE8">
        <w:rPr>
          <w:rFonts w:ascii="Book Antiqua" w:eastAsia="Calibri" w:hAnsi="Book Antiqua" w:cs="Times New Roman"/>
          <w:b/>
          <w:sz w:val="20"/>
          <w:szCs w:val="20"/>
          <w:lang w:val="en-US"/>
        </w:rPr>
        <w:t xml:space="preserve">Table 2 </w:t>
      </w:r>
    </w:p>
    <w:p w:rsidR="00863C11" w:rsidRPr="00723AE8" w:rsidRDefault="00863C11" w:rsidP="00863C11">
      <w:pPr>
        <w:spacing w:after="0" w:line="240" w:lineRule="auto"/>
        <w:jc w:val="center"/>
        <w:rPr>
          <w:rFonts w:ascii="Book Antiqua" w:eastAsia="Calibri" w:hAnsi="Book Antiqua" w:cs="Times New Roman"/>
          <w:b/>
          <w:sz w:val="20"/>
          <w:szCs w:val="20"/>
          <w:lang w:val="en-US"/>
        </w:rPr>
      </w:pPr>
      <w:r w:rsidRPr="00723AE8">
        <w:rPr>
          <w:rFonts w:ascii="Book Antiqua" w:eastAsia="Calibri" w:hAnsi="Book Antiqua" w:cs="Times New Roman"/>
          <w:b/>
          <w:sz w:val="20"/>
          <w:szCs w:val="20"/>
          <w:lang w:val="en-US"/>
        </w:rPr>
        <w:t>The Values of Profitability Efficiency</w:t>
      </w:r>
    </w:p>
    <w:tbl>
      <w:tblPr>
        <w:tblW w:w="8200" w:type="dxa"/>
        <w:tblInd w:w="96" w:type="dxa"/>
        <w:tblLook w:val="04A0" w:firstRow="1" w:lastRow="0" w:firstColumn="1" w:lastColumn="0" w:noHBand="0" w:noVBand="1"/>
      </w:tblPr>
      <w:tblGrid>
        <w:gridCol w:w="1900"/>
        <w:gridCol w:w="2120"/>
        <w:gridCol w:w="2260"/>
        <w:gridCol w:w="1920"/>
      </w:tblGrid>
      <w:tr w:rsidR="00863C11" w:rsidRPr="00723AE8" w:rsidTr="002221B1">
        <w:trPr>
          <w:trHeight w:val="315"/>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center"/>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Bank</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center"/>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2018</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center"/>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Bank</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center"/>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2017</w:t>
            </w:r>
          </w:p>
        </w:tc>
      </w:tr>
      <w:tr w:rsidR="00863C11" w:rsidRPr="00723AE8" w:rsidTr="002221B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BCA</w:t>
            </w:r>
          </w:p>
        </w:tc>
        <w:tc>
          <w:tcPr>
            <w:tcW w:w="21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c>
          <w:tcPr>
            <w:tcW w:w="22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BCA</w:t>
            </w:r>
          </w:p>
        </w:tc>
        <w:tc>
          <w:tcPr>
            <w:tcW w:w="19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r>
      <w:tr w:rsidR="00863C11" w:rsidRPr="00723AE8" w:rsidTr="002221B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BNI</w:t>
            </w:r>
          </w:p>
        </w:tc>
        <w:tc>
          <w:tcPr>
            <w:tcW w:w="21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c>
          <w:tcPr>
            <w:tcW w:w="22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BNI</w:t>
            </w:r>
          </w:p>
        </w:tc>
        <w:tc>
          <w:tcPr>
            <w:tcW w:w="19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r>
      <w:tr w:rsidR="00863C11" w:rsidRPr="00723AE8" w:rsidTr="002221B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BRI</w:t>
            </w:r>
          </w:p>
        </w:tc>
        <w:tc>
          <w:tcPr>
            <w:tcW w:w="21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c>
          <w:tcPr>
            <w:tcW w:w="22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BRI</w:t>
            </w:r>
          </w:p>
        </w:tc>
        <w:tc>
          <w:tcPr>
            <w:tcW w:w="19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r>
      <w:tr w:rsidR="00863C11" w:rsidRPr="00723AE8" w:rsidTr="002221B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DANAMON</w:t>
            </w:r>
          </w:p>
        </w:tc>
        <w:tc>
          <w:tcPr>
            <w:tcW w:w="21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c>
          <w:tcPr>
            <w:tcW w:w="22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DANAMON</w:t>
            </w:r>
          </w:p>
        </w:tc>
        <w:tc>
          <w:tcPr>
            <w:tcW w:w="19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r>
      <w:tr w:rsidR="00863C11" w:rsidRPr="00723AE8" w:rsidTr="002221B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MAYBANK</w:t>
            </w:r>
          </w:p>
        </w:tc>
        <w:tc>
          <w:tcPr>
            <w:tcW w:w="21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c>
          <w:tcPr>
            <w:tcW w:w="22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MAYBANK</w:t>
            </w:r>
          </w:p>
        </w:tc>
        <w:tc>
          <w:tcPr>
            <w:tcW w:w="19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r>
      <w:tr w:rsidR="00863C11" w:rsidRPr="00723AE8" w:rsidTr="002221B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NISP</w:t>
            </w:r>
          </w:p>
        </w:tc>
        <w:tc>
          <w:tcPr>
            <w:tcW w:w="21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c>
          <w:tcPr>
            <w:tcW w:w="22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NISP</w:t>
            </w:r>
          </w:p>
        </w:tc>
        <w:tc>
          <w:tcPr>
            <w:tcW w:w="19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r>
      <w:tr w:rsidR="00863C11" w:rsidRPr="00723AE8" w:rsidTr="002221B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PANIN</w:t>
            </w:r>
          </w:p>
        </w:tc>
        <w:tc>
          <w:tcPr>
            <w:tcW w:w="21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c>
          <w:tcPr>
            <w:tcW w:w="22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PANIN</w:t>
            </w:r>
          </w:p>
        </w:tc>
        <w:tc>
          <w:tcPr>
            <w:tcW w:w="19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r>
      <w:tr w:rsidR="00863C11" w:rsidRPr="00723AE8" w:rsidTr="002221B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MANDIRI</w:t>
            </w:r>
          </w:p>
        </w:tc>
        <w:tc>
          <w:tcPr>
            <w:tcW w:w="21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90.90%</w:t>
            </w:r>
          </w:p>
        </w:tc>
        <w:tc>
          <w:tcPr>
            <w:tcW w:w="22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BTN</w:t>
            </w:r>
          </w:p>
        </w:tc>
        <w:tc>
          <w:tcPr>
            <w:tcW w:w="19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93.50%</w:t>
            </w:r>
          </w:p>
        </w:tc>
      </w:tr>
      <w:tr w:rsidR="00863C11" w:rsidRPr="00723AE8" w:rsidTr="002221B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NIAGA</w:t>
            </w:r>
          </w:p>
        </w:tc>
        <w:tc>
          <w:tcPr>
            <w:tcW w:w="21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76.20%</w:t>
            </w:r>
          </w:p>
        </w:tc>
        <w:tc>
          <w:tcPr>
            <w:tcW w:w="22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MANDIRI</w:t>
            </w:r>
          </w:p>
        </w:tc>
        <w:tc>
          <w:tcPr>
            <w:tcW w:w="19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91.00%</w:t>
            </w:r>
          </w:p>
        </w:tc>
      </w:tr>
      <w:tr w:rsidR="00863C11" w:rsidRPr="00723AE8" w:rsidTr="002221B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BTN</w:t>
            </w:r>
          </w:p>
        </w:tc>
        <w:tc>
          <w:tcPr>
            <w:tcW w:w="21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71.70%</w:t>
            </w:r>
          </w:p>
        </w:tc>
        <w:tc>
          <w:tcPr>
            <w:tcW w:w="22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NIAGA</w:t>
            </w:r>
          </w:p>
        </w:tc>
        <w:tc>
          <w:tcPr>
            <w:tcW w:w="19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74.50%</w:t>
            </w:r>
          </w:p>
        </w:tc>
      </w:tr>
      <w:tr w:rsidR="00863C11" w:rsidRPr="00723AE8" w:rsidTr="002221B1">
        <w:trPr>
          <w:trHeight w:val="31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Average</w:t>
            </w:r>
          </w:p>
        </w:tc>
        <w:tc>
          <w:tcPr>
            <w:tcW w:w="21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93.88%</w:t>
            </w:r>
          </w:p>
        </w:tc>
        <w:tc>
          <w:tcPr>
            <w:tcW w:w="22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Rata-rata</w:t>
            </w:r>
          </w:p>
        </w:tc>
        <w:tc>
          <w:tcPr>
            <w:tcW w:w="19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95.90%</w:t>
            </w:r>
          </w:p>
        </w:tc>
      </w:tr>
    </w:tbl>
    <w:p w:rsidR="00863C11" w:rsidRPr="00723AE8" w:rsidRDefault="00863C11" w:rsidP="00863C11">
      <w:pPr>
        <w:spacing w:after="0" w:line="240" w:lineRule="auto"/>
        <w:jc w:val="both"/>
        <w:rPr>
          <w:rFonts w:ascii="Book Antiqua" w:eastAsia="Calibri" w:hAnsi="Book Antiqua" w:cs="Times New Roman"/>
          <w:sz w:val="20"/>
          <w:szCs w:val="20"/>
          <w:lang w:val="en-US"/>
        </w:rPr>
      </w:pPr>
    </w:p>
    <w:p w:rsidR="00F00584" w:rsidRDefault="00F00584" w:rsidP="002221B1">
      <w:pPr>
        <w:spacing w:after="0" w:line="240" w:lineRule="auto"/>
        <w:ind w:firstLine="426"/>
        <w:jc w:val="both"/>
        <w:rPr>
          <w:rFonts w:ascii="Book Antiqua" w:eastAsia="Calibri" w:hAnsi="Book Antiqua" w:cs="Times New Roman"/>
          <w:sz w:val="20"/>
          <w:szCs w:val="20"/>
          <w:lang w:val="en-US"/>
        </w:rPr>
        <w:sectPr w:rsidR="00F00584" w:rsidSect="007531D4">
          <w:type w:val="continuous"/>
          <w:pgSz w:w="12240" w:h="15840"/>
          <w:pgMar w:top="1440" w:right="1440" w:bottom="1440" w:left="1440" w:header="720" w:footer="720" w:gutter="0"/>
          <w:cols w:space="720"/>
          <w:docGrid w:linePitch="360"/>
        </w:sectPr>
      </w:pPr>
    </w:p>
    <w:p w:rsidR="002221B1" w:rsidRPr="00723AE8" w:rsidRDefault="00863C11" w:rsidP="002221B1">
      <w:pPr>
        <w:spacing w:after="0" w:line="240" w:lineRule="auto"/>
        <w:ind w:firstLine="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 xml:space="preserve">Based on </w:t>
      </w:r>
      <w:r w:rsidR="002221B1" w:rsidRPr="00723AE8">
        <w:rPr>
          <w:rFonts w:ascii="Book Antiqua" w:eastAsia="Calibri" w:hAnsi="Book Antiqua" w:cs="Times New Roman"/>
          <w:sz w:val="20"/>
          <w:szCs w:val="20"/>
          <w:lang w:val="en-US"/>
        </w:rPr>
        <w:t xml:space="preserve">information in </w:t>
      </w:r>
      <w:r w:rsidRPr="00723AE8">
        <w:rPr>
          <w:rFonts w:ascii="Book Antiqua" w:eastAsia="Calibri" w:hAnsi="Book Antiqua" w:cs="Times New Roman"/>
          <w:sz w:val="20"/>
          <w:szCs w:val="20"/>
          <w:lang w:val="en-US"/>
        </w:rPr>
        <w:t xml:space="preserve">Table 2, it can be seen that during 2017-2018 there were 7 banks that consistently obtained good profitability performance, namely BCA, BNI, BRI, DANAMON, MAYBANK and NISP. Next, the banks that received fairly good profitability performance were Bank Mandiri in 2017 and 2018, Bank BTN had good profitability only in 2017, while Bank Niaga underperformed </w:t>
      </w:r>
      <w:r w:rsidR="00BC1273">
        <w:rPr>
          <w:rFonts w:ascii="Book Antiqua" w:eastAsia="Calibri" w:hAnsi="Book Antiqua" w:cs="Times New Roman"/>
          <w:sz w:val="20"/>
          <w:szCs w:val="20"/>
        </w:rPr>
        <w:t>(no good)</w:t>
      </w:r>
      <w:r w:rsidRPr="00723AE8">
        <w:rPr>
          <w:rFonts w:ascii="Book Antiqua" w:eastAsia="Calibri" w:hAnsi="Book Antiqua" w:cs="Times New Roman"/>
          <w:sz w:val="20"/>
          <w:szCs w:val="20"/>
          <w:lang w:val="en-US"/>
        </w:rPr>
        <w:t>during the observation period. The average value of the bank's profitability performance decreased from 2017 to 2018 (in accordance with the phenomenon),</w:t>
      </w:r>
      <w:r w:rsidR="008F7159">
        <w:rPr>
          <w:rFonts w:ascii="Book Antiqua" w:eastAsia="Calibri" w:hAnsi="Book Antiqua" w:cs="Times New Roman"/>
          <w:sz w:val="20"/>
          <w:szCs w:val="20"/>
          <w:lang w:val="en-US"/>
        </w:rPr>
        <w:t xml:space="preserve"> although it was still in fa</w:t>
      </w:r>
      <w:r w:rsidRPr="00723AE8">
        <w:rPr>
          <w:rFonts w:ascii="Book Antiqua" w:eastAsia="Calibri" w:hAnsi="Book Antiqua" w:cs="Times New Roman"/>
          <w:sz w:val="20"/>
          <w:szCs w:val="20"/>
          <w:lang w:val="en-US"/>
        </w:rPr>
        <w:t>irly good category. The results of this study do not support the research conducted by Sari and Widaninggar, 2018 which found that large banks were able to optimize their resources to increase their income. Bank Mandiri had assets of IDR 1,202 trillion at the end of 2018, the second largest after BRI, but its profitability performance was lower than that of BNI, BCA, PANIN, DANAMON, MAYBANK and NISP whose assets were under Bank Mandiri. Likewise, in 2017 Bank Mandiri had assets of IDR 1,124 trillion, the second largest after BRI, but its profitability performance was also still lower than that of BNI, BCA, PANIN, DANAMON, MAYBANK and NISP whose assets were under Bank Mandiri. The same thing also happened to the profitability perf</w:t>
      </w:r>
      <w:r w:rsidR="008F7159">
        <w:rPr>
          <w:rFonts w:ascii="Book Antiqua" w:eastAsia="Calibri" w:hAnsi="Book Antiqua" w:cs="Times New Roman"/>
          <w:sz w:val="20"/>
          <w:szCs w:val="20"/>
          <w:lang w:val="en-US"/>
        </w:rPr>
        <w:t>o</w:t>
      </w:r>
      <w:r w:rsidRPr="00723AE8">
        <w:rPr>
          <w:rFonts w:ascii="Book Antiqua" w:eastAsia="Calibri" w:hAnsi="Book Antiqua" w:cs="Times New Roman"/>
          <w:sz w:val="20"/>
          <w:szCs w:val="20"/>
          <w:lang w:val="en-US"/>
        </w:rPr>
        <w:t>rmance of Bank BTN and Niaga. At the end of 2018 they had assets of IDR 306 trillion and IDR 256 trillion respectively, and in 2017 IDR 261 trillion and IDR 255 trillion, however, their profitability performance was still below Bank PANIN, DANAMON, MAYBANK and NISP whose assets were lower.</w:t>
      </w:r>
    </w:p>
    <w:p w:rsidR="00863C11" w:rsidRPr="00723AE8" w:rsidRDefault="00863C11" w:rsidP="002221B1">
      <w:pPr>
        <w:spacing w:after="0" w:line="240" w:lineRule="auto"/>
        <w:ind w:firstLine="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Other information generated by DEA software is about potential improvements that must be made in order to achieve maximum efficiency as shown in tables 3 and 4 below:</w:t>
      </w:r>
    </w:p>
    <w:p w:rsidR="00F00584" w:rsidRDefault="00F00584" w:rsidP="00863C11">
      <w:pPr>
        <w:spacing w:after="0" w:line="240" w:lineRule="auto"/>
        <w:jc w:val="both"/>
        <w:rPr>
          <w:rFonts w:ascii="Book Antiqua" w:eastAsia="Calibri" w:hAnsi="Book Antiqua" w:cs="Times New Roman"/>
          <w:sz w:val="20"/>
          <w:szCs w:val="20"/>
          <w:lang w:val="en-US"/>
        </w:rPr>
        <w:sectPr w:rsidR="00F00584" w:rsidSect="00F00584">
          <w:type w:val="continuous"/>
          <w:pgSz w:w="12240" w:h="15840"/>
          <w:pgMar w:top="1440" w:right="1440" w:bottom="1440" w:left="1440" w:header="720" w:footer="720" w:gutter="0"/>
          <w:cols w:num="2" w:space="720"/>
          <w:docGrid w:linePitch="360"/>
        </w:sectPr>
      </w:pPr>
    </w:p>
    <w:p w:rsidR="00863C11" w:rsidRPr="00723AE8" w:rsidRDefault="00863C11" w:rsidP="00863C11">
      <w:pPr>
        <w:spacing w:after="0" w:line="240" w:lineRule="auto"/>
        <w:jc w:val="both"/>
        <w:rPr>
          <w:rFonts w:ascii="Book Antiqua" w:eastAsia="Calibri" w:hAnsi="Book Antiqua" w:cs="Times New Roman"/>
          <w:sz w:val="20"/>
          <w:szCs w:val="20"/>
          <w:lang w:val="en-US"/>
        </w:rPr>
      </w:pPr>
    </w:p>
    <w:p w:rsidR="00863C11" w:rsidRPr="00723AE8" w:rsidRDefault="002221B1" w:rsidP="00863C11">
      <w:pPr>
        <w:spacing w:after="0" w:line="240" w:lineRule="auto"/>
        <w:jc w:val="center"/>
        <w:rPr>
          <w:rFonts w:ascii="Book Antiqua" w:eastAsia="Calibri" w:hAnsi="Book Antiqua" w:cs="Times New Roman"/>
          <w:b/>
          <w:i/>
          <w:sz w:val="20"/>
          <w:szCs w:val="20"/>
          <w:lang w:val="en-US"/>
        </w:rPr>
      </w:pPr>
      <w:r w:rsidRPr="00723AE8">
        <w:rPr>
          <w:rFonts w:ascii="Book Antiqua" w:eastAsia="Calibri" w:hAnsi="Book Antiqua" w:cs="Times New Roman"/>
          <w:b/>
          <w:sz w:val="20"/>
          <w:szCs w:val="20"/>
          <w:lang w:val="en-US"/>
        </w:rPr>
        <w:t>Table</w:t>
      </w:r>
      <w:r w:rsidR="00863C11" w:rsidRPr="00723AE8">
        <w:rPr>
          <w:rFonts w:ascii="Book Antiqua" w:eastAsia="Calibri" w:hAnsi="Book Antiqua" w:cs="Times New Roman"/>
          <w:b/>
          <w:sz w:val="20"/>
          <w:szCs w:val="20"/>
          <w:lang w:val="en-US"/>
        </w:rPr>
        <w:t xml:space="preserve"> 3</w:t>
      </w:r>
    </w:p>
    <w:p w:rsidR="00863C11" w:rsidRPr="00723AE8" w:rsidRDefault="00863C11" w:rsidP="00863C11">
      <w:pPr>
        <w:spacing w:after="0" w:line="240" w:lineRule="auto"/>
        <w:jc w:val="center"/>
        <w:rPr>
          <w:rFonts w:ascii="Book Antiqua" w:eastAsia="Calibri" w:hAnsi="Book Antiqua" w:cs="Times New Roman"/>
          <w:b/>
          <w:sz w:val="20"/>
          <w:szCs w:val="20"/>
          <w:lang w:val="en-US"/>
        </w:rPr>
      </w:pPr>
      <w:r w:rsidRPr="00723AE8">
        <w:rPr>
          <w:rFonts w:ascii="Book Antiqua" w:eastAsia="Calibri" w:hAnsi="Book Antiqua" w:cs="Times New Roman"/>
          <w:b/>
          <w:sz w:val="20"/>
          <w:szCs w:val="20"/>
          <w:lang w:val="en-US"/>
        </w:rPr>
        <w:t>Potential Improvement in Profitability 2017</w:t>
      </w:r>
    </w:p>
    <w:tbl>
      <w:tblPr>
        <w:tblW w:w="6100" w:type="dxa"/>
        <w:jc w:val="center"/>
        <w:tblLook w:val="04A0" w:firstRow="1" w:lastRow="0" w:firstColumn="1" w:lastColumn="0" w:noHBand="0" w:noVBand="1"/>
      </w:tblPr>
      <w:tblGrid>
        <w:gridCol w:w="2620"/>
        <w:gridCol w:w="1100"/>
        <w:gridCol w:w="1160"/>
        <w:gridCol w:w="1220"/>
      </w:tblGrid>
      <w:tr w:rsidR="00863C11" w:rsidRPr="00723AE8" w:rsidTr="002221B1">
        <w:trPr>
          <w:trHeight w:val="315"/>
          <w:jc w:val="center"/>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center"/>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Input</w:t>
            </w:r>
            <w:r w:rsidR="002221B1" w:rsidRPr="00723AE8">
              <w:rPr>
                <w:rFonts w:ascii="Book Antiqua" w:eastAsia="Times New Roman" w:hAnsi="Book Antiqua" w:cs="Times New Roman"/>
                <w:b/>
                <w:bCs/>
                <w:color w:val="000000"/>
                <w:sz w:val="20"/>
                <w:szCs w:val="20"/>
                <w:lang w:val="en-US"/>
              </w:rPr>
              <w:t xml:space="preserve"> </w:t>
            </w:r>
            <w:r w:rsidRPr="00723AE8">
              <w:rPr>
                <w:rFonts w:ascii="Book Antiqua" w:eastAsia="Times New Roman" w:hAnsi="Book Antiqua" w:cs="Times New Roman"/>
                <w:b/>
                <w:bCs/>
                <w:color w:val="000000"/>
                <w:sz w:val="20"/>
                <w:szCs w:val="20"/>
                <w:lang w:val="en-US"/>
              </w:rPr>
              <w:t>/</w:t>
            </w:r>
            <w:r w:rsidR="002221B1" w:rsidRPr="00723AE8">
              <w:rPr>
                <w:rFonts w:ascii="Book Antiqua" w:eastAsia="Times New Roman" w:hAnsi="Book Antiqua" w:cs="Times New Roman"/>
                <w:b/>
                <w:bCs/>
                <w:color w:val="000000"/>
                <w:sz w:val="20"/>
                <w:szCs w:val="20"/>
                <w:lang w:val="en-US"/>
              </w:rPr>
              <w:t xml:space="preserve"> </w:t>
            </w:r>
            <w:r w:rsidRPr="00723AE8">
              <w:rPr>
                <w:rFonts w:ascii="Book Antiqua" w:eastAsia="Times New Roman" w:hAnsi="Book Antiqua" w:cs="Times New Roman"/>
                <w:b/>
                <w:bCs/>
                <w:color w:val="000000"/>
                <w:sz w:val="20"/>
                <w:szCs w:val="20"/>
                <w:lang w:val="en-US"/>
              </w:rPr>
              <w:t>Output</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center"/>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BTN</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center"/>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Mandiri</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center"/>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Niaga</w:t>
            </w:r>
          </w:p>
        </w:tc>
      </w:tr>
      <w:tr w:rsidR="00863C11" w:rsidRPr="00723AE8" w:rsidTr="002221B1">
        <w:trPr>
          <w:trHeight w:val="315"/>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Assets</w:t>
            </w:r>
          </w:p>
        </w:tc>
        <w:tc>
          <w:tcPr>
            <w:tcW w:w="110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-16.00%</w:t>
            </w:r>
          </w:p>
        </w:tc>
        <w:tc>
          <w:tcPr>
            <w:tcW w:w="11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-19.69%</w:t>
            </w:r>
          </w:p>
        </w:tc>
        <w:tc>
          <w:tcPr>
            <w:tcW w:w="12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0.00%</w:t>
            </w:r>
          </w:p>
        </w:tc>
      </w:tr>
      <w:tr w:rsidR="00863C11" w:rsidRPr="00723AE8" w:rsidTr="002221B1">
        <w:trPr>
          <w:trHeight w:val="315"/>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Labor Costs</w:t>
            </w:r>
          </w:p>
        </w:tc>
        <w:tc>
          <w:tcPr>
            <w:tcW w:w="110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0.00%</w:t>
            </w:r>
          </w:p>
        </w:tc>
        <w:tc>
          <w:tcPr>
            <w:tcW w:w="11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0.00%</w:t>
            </w:r>
          </w:p>
        </w:tc>
        <w:tc>
          <w:tcPr>
            <w:tcW w:w="12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0.00%</w:t>
            </w:r>
          </w:p>
        </w:tc>
      </w:tr>
      <w:tr w:rsidR="00863C11" w:rsidRPr="00723AE8" w:rsidTr="002221B1">
        <w:trPr>
          <w:trHeight w:val="315"/>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Earnings</w:t>
            </w:r>
          </w:p>
        </w:tc>
        <w:tc>
          <w:tcPr>
            <w:tcW w:w="110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6.91%</w:t>
            </w:r>
          </w:p>
        </w:tc>
        <w:tc>
          <w:tcPr>
            <w:tcW w:w="11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9.84%</w:t>
            </w:r>
          </w:p>
        </w:tc>
        <w:tc>
          <w:tcPr>
            <w:tcW w:w="12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47.33%</w:t>
            </w:r>
          </w:p>
        </w:tc>
      </w:tr>
      <w:tr w:rsidR="00863C11" w:rsidRPr="00723AE8" w:rsidTr="002221B1">
        <w:trPr>
          <w:trHeight w:val="315"/>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Operating Income</w:t>
            </w:r>
          </w:p>
        </w:tc>
        <w:tc>
          <w:tcPr>
            <w:tcW w:w="110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6.91%</w:t>
            </w:r>
          </w:p>
        </w:tc>
        <w:tc>
          <w:tcPr>
            <w:tcW w:w="11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9.84%</w:t>
            </w:r>
          </w:p>
        </w:tc>
        <w:tc>
          <w:tcPr>
            <w:tcW w:w="12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34.15%</w:t>
            </w:r>
          </w:p>
        </w:tc>
      </w:tr>
    </w:tbl>
    <w:p w:rsidR="00863C11" w:rsidRPr="00723AE8" w:rsidRDefault="00863C11" w:rsidP="00863C11">
      <w:pPr>
        <w:spacing w:after="0" w:line="240" w:lineRule="auto"/>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 xml:space="preserve">                           </w:t>
      </w:r>
    </w:p>
    <w:p w:rsidR="00F00584" w:rsidRDefault="00F00584" w:rsidP="002221B1">
      <w:pPr>
        <w:spacing w:after="0" w:line="240" w:lineRule="auto"/>
        <w:ind w:firstLine="426"/>
        <w:jc w:val="both"/>
        <w:rPr>
          <w:rFonts w:ascii="Book Antiqua" w:eastAsia="Calibri" w:hAnsi="Book Antiqua" w:cs="Times New Roman"/>
          <w:sz w:val="20"/>
          <w:szCs w:val="20"/>
          <w:lang w:val="en-US"/>
        </w:rPr>
        <w:sectPr w:rsidR="00F00584" w:rsidSect="007531D4">
          <w:type w:val="continuous"/>
          <w:pgSz w:w="12240" w:h="15840"/>
          <w:pgMar w:top="1440" w:right="1440" w:bottom="1440" w:left="1440" w:header="720" w:footer="720" w:gutter="0"/>
          <w:cols w:space="720"/>
          <w:docGrid w:linePitch="360"/>
        </w:sectPr>
      </w:pPr>
    </w:p>
    <w:p w:rsidR="00863C11" w:rsidRPr="00723AE8" w:rsidRDefault="00863C11" w:rsidP="002221B1">
      <w:pPr>
        <w:spacing w:after="0" w:line="240" w:lineRule="auto"/>
        <w:ind w:firstLine="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Based on information in Table 3 above, these banks wanted to maximize their profitability. Bank BTN and Bank Mandiri could improve their profitability performance (Mulyadi 2016) over the banks with maximum profitability by increasing their profit and operating income or reducing their assets. Compared with the other eight banks, Bank BTN and Bank Mandiri had large composition of non-earning assets so that their profitability was quite good. Bank Niaga had to increase its operating profit and income in order to achieve maximum profitability. The results of this study support the research conducted by Avkiran, 1999, that DEA can be used as benchmarking for banks with maximum profitability.</w:t>
      </w:r>
    </w:p>
    <w:p w:rsidR="00F00584" w:rsidRDefault="00F00584" w:rsidP="00863C11">
      <w:pPr>
        <w:spacing w:after="0" w:line="240" w:lineRule="auto"/>
        <w:jc w:val="both"/>
        <w:rPr>
          <w:rFonts w:ascii="Book Antiqua" w:eastAsia="Calibri" w:hAnsi="Book Antiqua" w:cs="Times New Roman"/>
          <w:i/>
          <w:sz w:val="20"/>
          <w:szCs w:val="20"/>
          <w:lang w:val="en-US"/>
        </w:rPr>
        <w:sectPr w:rsidR="00F00584" w:rsidSect="00F00584">
          <w:type w:val="continuous"/>
          <w:pgSz w:w="12240" w:h="15840"/>
          <w:pgMar w:top="1440" w:right="1440" w:bottom="1440" w:left="1440" w:header="720" w:footer="720" w:gutter="0"/>
          <w:cols w:num="2" w:space="720"/>
          <w:docGrid w:linePitch="360"/>
        </w:sectPr>
      </w:pPr>
    </w:p>
    <w:p w:rsidR="00863C11" w:rsidRPr="00723AE8" w:rsidRDefault="00863C11" w:rsidP="00863C11">
      <w:pPr>
        <w:spacing w:after="0" w:line="240" w:lineRule="auto"/>
        <w:jc w:val="both"/>
        <w:rPr>
          <w:rFonts w:ascii="Book Antiqua" w:eastAsia="Calibri" w:hAnsi="Book Antiqua" w:cs="Times New Roman"/>
          <w:i/>
          <w:sz w:val="20"/>
          <w:szCs w:val="20"/>
          <w:lang w:val="en-US"/>
        </w:rPr>
      </w:pPr>
    </w:p>
    <w:p w:rsidR="00863C11" w:rsidRPr="00723AE8" w:rsidRDefault="00863C11" w:rsidP="00863C11">
      <w:pPr>
        <w:spacing w:after="0" w:line="240" w:lineRule="auto"/>
        <w:jc w:val="center"/>
        <w:rPr>
          <w:rFonts w:ascii="Book Antiqua" w:eastAsia="Calibri" w:hAnsi="Book Antiqua" w:cs="Times New Roman"/>
          <w:b/>
          <w:i/>
          <w:sz w:val="20"/>
          <w:szCs w:val="20"/>
          <w:lang w:val="en-US"/>
        </w:rPr>
      </w:pPr>
      <w:r w:rsidRPr="00723AE8">
        <w:rPr>
          <w:rFonts w:ascii="Book Antiqua" w:eastAsia="Calibri" w:hAnsi="Book Antiqua" w:cs="Times New Roman"/>
          <w:b/>
          <w:sz w:val="20"/>
          <w:szCs w:val="20"/>
          <w:lang w:val="en-US"/>
        </w:rPr>
        <w:t>Table 4</w:t>
      </w:r>
      <w:r w:rsidRPr="00723AE8">
        <w:rPr>
          <w:rFonts w:ascii="Book Antiqua" w:eastAsia="Calibri" w:hAnsi="Book Antiqua" w:cs="Times New Roman"/>
          <w:b/>
          <w:i/>
          <w:sz w:val="20"/>
          <w:szCs w:val="20"/>
          <w:lang w:val="en-US"/>
        </w:rPr>
        <w:t xml:space="preserve"> </w:t>
      </w:r>
    </w:p>
    <w:p w:rsidR="00863C11" w:rsidRPr="00723AE8" w:rsidRDefault="00863C11" w:rsidP="00863C11">
      <w:pPr>
        <w:spacing w:after="0" w:line="240" w:lineRule="auto"/>
        <w:jc w:val="center"/>
        <w:rPr>
          <w:rFonts w:ascii="Book Antiqua" w:eastAsia="Calibri" w:hAnsi="Book Antiqua" w:cs="Times New Roman"/>
          <w:b/>
          <w:sz w:val="20"/>
          <w:szCs w:val="20"/>
          <w:lang w:val="en-US"/>
        </w:rPr>
      </w:pPr>
      <w:r w:rsidRPr="00723AE8">
        <w:rPr>
          <w:rFonts w:ascii="Book Antiqua" w:eastAsia="Calibri" w:hAnsi="Book Antiqua" w:cs="Times New Roman"/>
          <w:b/>
          <w:sz w:val="20"/>
          <w:szCs w:val="20"/>
          <w:lang w:val="en-US"/>
        </w:rPr>
        <w:t>Potential Improvement in Profitability 2018</w:t>
      </w:r>
    </w:p>
    <w:tbl>
      <w:tblPr>
        <w:tblW w:w="5570" w:type="dxa"/>
        <w:jc w:val="center"/>
        <w:tblLook w:val="04A0" w:firstRow="1" w:lastRow="0" w:firstColumn="1" w:lastColumn="0" w:noHBand="0" w:noVBand="1"/>
      </w:tblPr>
      <w:tblGrid>
        <w:gridCol w:w="2783"/>
        <w:gridCol w:w="972"/>
        <w:gridCol w:w="960"/>
        <w:gridCol w:w="1180"/>
      </w:tblGrid>
      <w:tr w:rsidR="00863C11" w:rsidRPr="00723AE8" w:rsidTr="002221B1">
        <w:trPr>
          <w:trHeight w:val="300"/>
          <w:jc w:val="center"/>
        </w:trPr>
        <w:tc>
          <w:tcPr>
            <w:tcW w:w="27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center"/>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Input</w:t>
            </w:r>
            <w:r w:rsidR="002221B1" w:rsidRPr="00723AE8">
              <w:rPr>
                <w:rFonts w:ascii="Book Antiqua" w:eastAsia="Times New Roman" w:hAnsi="Book Antiqua" w:cs="Times New Roman"/>
                <w:b/>
                <w:bCs/>
                <w:color w:val="000000"/>
                <w:sz w:val="20"/>
                <w:szCs w:val="20"/>
                <w:lang w:val="en-US"/>
              </w:rPr>
              <w:t xml:space="preserve"> </w:t>
            </w:r>
            <w:r w:rsidRPr="00723AE8">
              <w:rPr>
                <w:rFonts w:ascii="Book Antiqua" w:eastAsia="Times New Roman" w:hAnsi="Book Antiqua" w:cs="Times New Roman"/>
                <w:b/>
                <w:bCs/>
                <w:color w:val="000000"/>
                <w:sz w:val="20"/>
                <w:szCs w:val="20"/>
                <w:lang w:val="en-US"/>
              </w:rPr>
              <w:t>/</w:t>
            </w:r>
            <w:r w:rsidR="002221B1" w:rsidRPr="00723AE8">
              <w:rPr>
                <w:rFonts w:ascii="Book Antiqua" w:eastAsia="Times New Roman" w:hAnsi="Book Antiqua" w:cs="Times New Roman"/>
                <w:b/>
                <w:bCs/>
                <w:color w:val="000000"/>
                <w:sz w:val="20"/>
                <w:szCs w:val="20"/>
                <w:lang w:val="en-US"/>
              </w:rPr>
              <w:t xml:space="preserve"> </w:t>
            </w:r>
            <w:r w:rsidRPr="00723AE8">
              <w:rPr>
                <w:rFonts w:ascii="Book Antiqua" w:eastAsia="Times New Roman" w:hAnsi="Book Antiqua" w:cs="Times New Roman"/>
                <w:b/>
                <w:bCs/>
                <w:color w:val="000000"/>
                <w:sz w:val="20"/>
                <w:szCs w:val="20"/>
                <w:lang w:val="en-US"/>
              </w:rPr>
              <w:t>Output</w:t>
            </w:r>
          </w:p>
        </w:tc>
        <w:tc>
          <w:tcPr>
            <w:tcW w:w="647"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center"/>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Mandiri</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center"/>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Niaga</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center"/>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BTN</w:t>
            </w:r>
          </w:p>
        </w:tc>
      </w:tr>
      <w:tr w:rsidR="00863C11" w:rsidRPr="00723AE8" w:rsidTr="002221B1">
        <w:trPr>
          <w:trHeight w:val="300"/>
          <w:jc w:val="center"/>
        </w:trPr>
        <w:tc>
          <w:tcPr>
            <w:tcW w:w="2783"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Assets</w:t>
            </w:r>
          </w:p>
        </w:tc>
        <w:tc>
          <w:tcPr>
            <w:tcW w:w="647"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-14.95%</w:t>
            </w:r>
          </w:p>
        </w:tc>
        <w:tc>
          <w:tcPr>
            <w:tcW w:w="9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0.00%</w:t>
            </w:r>
          </w:p>
        </w:tc>
        <w:tc>
          <w:tcPr>
            <w:tcW w:w="11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-12.24%</w:t>
            </w:r>
          </w:p>
        </w:tc>
      </w:tr>
      <w:tr w:rsidR="00863C11" w:rsidRPr="00723AE8" w:rsidTr="002221B1">
        <w:trPr>
          <w:trHeight w:val="300"/>
          <w:jc w:val="center"/>
        </w:trPr>
        <w:tc>
          <w:tcPr>
            <w:tcW w:w="2783"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Labor Cost</w:t>
            </w:r>
          </w:p>
        </w:tc>
        <w:tc>
          <w:tcPr>
            <w:tcW w:w="647"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0.00%</w:t>
            </w:r>
          </w:p>
        </w:tc>
        <w:tc>
          <w:tcPr>
            <w:tcW w:w="9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0.00%</w:t>
            </w:r>
          </w:p>
        </w:tc>
        <w:tc>
          <w:tcPr>
            <w:tcW w:w="11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0.00%</w:t>
            </w:r>
          </w:p>
        </w:tc>
      </w:tr>
      <w:tr w:rsidR="00863C11" w:rsidRPr="00723AE8" w:rsidTr="002221B1">
        <w:trPr>
          <w:trHeight w:val="315"/>
          <w:jc w:val="center"/>
        </w:trPr>
        <w:tc>
          <w:tcPr>
            <w:tcW w:w="2783"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E</w:t>
            </w:r>
            <w:r w:rsidR="008F7159">
              <w:rPr>
                <w:rFonts w:ascii="Book Antiqua" w:eastAsia="Times New Roman" w:hAnsi="Book Antiqua" w:cs="Times New Roman"/>
                <w:color w:val="000000"/>
                <w:sz w:val="20"/>
                <w:szCs w:val="20"/>
                <w:lang w:val="en-US"/>
              </w:rPr>
              <w:t>a</w:t>
            </w:r>
            <w:r w:rsidRPr="00723AE8">
              <w:rPr>
                <w:rFonts w:ascii="Book Antiqua" w:eastAsia="Times New Roman" w:hAnsi="Book Antiqua" w:cs="Times New Roman"/>
                <w:color w:val="000000"/>
                <w:sz w:val="20"/>
                <w:szCs w:val="20"/>
                <w:lang w:val="en-US"/>
              </w:rPr>
              <w:t>rnings</w:t>
            </w:r>
          </w:p>
        </w:tc>
        <w:tc>
          <w:tcPr>
            <w:tcW w:w="647"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9.97%</w:t>
            </w:r>
          </w:p>
        </w:tc>
        <w:tc>
          <w:tcPr>
            <w:tcW w:w="9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64.11%</w:t>
            </w:r>
          </w:p>
        </w:tc>
        <w:tc>
          <w:tcPr>
            <w:tcW w:w="11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79.48%</w:t>
            </w:r>
          </w:p>
        </w:tc>
      </w:tr>
      <w:tr w:rsidR="00863C11" w:rsidRPr="00723AE8" w:rsidTr="002221B1">
        <w:trPr>
          <w:trHeight w:val="300"/>
          <w:jc w:val="center"/>
        </w:trPr>
        <w:tc>
          <w:tcPr>
            <w:tcW w:w="2783"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Operating Income</w:t>
            </w:r>
          </w:p>
        </w:tc>
        <w:tc>
          <w:tcPr>
            <w:tcW w:w="647"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9.97%</w:t>
            </w:r>
          </w:p>
        </w:tc>
        <w:tc>
          <w:tcPr>
            <w:tcW w:w="9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31.28%</w:t>
            </w:r>
          </w:p>
        </w:tc>
        <w:tc>
          <w:tcPr>
            <w:tcW w:w="11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39.42%</w:t>
            </w:r>
          </w:p>
        </w:tc>
      </w:tr>
    </w:tbl>
    <w:p w:rsidR="00863C11" w:rsidRPr="00723AE8" w:rsidRDefault="00863C11" w:rsidP="00863C11">
      <w:pPr>
        <w:spacing w:after="0" w:line="240" w:lineRule="auto"/>
        <w:contextualSpacing/>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 xml:space="preserve">                            </w:t>
      </w:r>
    </w:p>
    <w:p w:rsidR="00F00584" w:rsidRDefault="00F00584" w:rsidP="002221B1">
      <w:pPr>
        <w:spacing w:after="0" w:line="240" w:lineRule="auto"/>
        <w:ind w:firstLine="426"/>
        <w:jc w:val="both"/>
        <w:rPr>
          <w:rFonts w:ascii="Book Antiqua" w:eastAsia="Times New Roman" w:hAnsi="Book Antiqua" w:cs="Times New Roman"/>
          <w:color w:val="000000"/>
          <w:sz w:val="20"/>
          <w:szCs w:val="20"/>
          <w:lang w:val="en-US"/>
        </w:rPr>
        <w:sectPr w:rsidR="00F00584" w:rsidSect="007531D4">
          <w:type w:val="continuous"/>
          <w:pgSz w:w="12240" w:h="15840"/>
          <w:pgMar w:top="1440" w:right="1440" w:bottom="1440" w:left="1440" w:header="720" w:footer="720" w:gutter="0"/>
          <w:cols w:space="720"/>
          <w:docGrid w:linePitch="360"/>
        </w:sectPr>
      </w:pPr>
    </w:p>
    <w:p w:rsidR="00863C11" w:rsidRPr="00723AE8" w:rsidRDefault="00863C11" w:rsidP="002221B1">
      <w:pPr>
        <w:spacing w:after="0" w:line="240" w:lineRule="auto"/>
        <w:ind w:firstLine="426"/>
        <w:jc w:val="both"/>
        <w:rPr>
          <w:rFonts w:ascii="Book Antiqua" w:eastAsia="Calibri" w:hAnsi="Book Antiqua" w:cs="Times New Roman"/>
          <w:sz w:val="20"/>
          <w:szCs w:val="20"/>
          <w:lang w:val="en-US"/>
        </w:rPr>
      </w:pPr>
      <w:r w:rsidRPr="00723AE8">
        <w:rPr>
          <w:rFonts w:ascii="Book Antiqua" w:eastAsia="Times New Roman" w:hAnsi="Book Antiqua" w:cs="Times New Roman"/>
          <w:color w:val="000000"/>
          <w:sz w:val="20"/>
          <w:szCs w:val="20"/>
          <w:lang w:val="en-US"/>
        </w:rPr>
        <w:t>Table 4 above provides information on how much an increase in output or a decrease in input is if these banks want to maximize their profitability. It can be seen that the banks that obtain efficiency value category “fairly good” (above 90%), such as Bank Mandiri, the percentage of increase in output is smaller than banks which has category “not good”. The details can be explained as follows: Bank Mandiri must increase its operating profit and income or reduce its unproductive assets. Bank Niaga mus</w:t>
      </w:r>
      <w:r w:rsidR="008F7159">
        <w:rPr>
          <w:rFonts w:ascii="Book Antiqua" w:eastAsia="Times New Roman" w:hAnsi="Book Antiqua" w:cs="Times New Roman"/>
          <w:color w:val="000000"/>
          <w:sz w:val="20"/>
          <w:szCs w:val="20"/>
          <w:lang w:val="en-US"/>
        </w:rPr>
        <w:t>t increase its profit and opera</w:t>
      </w:r>
      <w:r w:rsidRPr="00723AE8">
        <w:rPr>
          <w:rFonts w:ascii="Book Antiqua" w:eastAsia="Times New Roman" w:hAnsi="Book Antiqua" w:cs="Times New Roman"/>
          <w:color w:val="000000"/>
          <w:sz w:val="20"/>
          <w:szCs w:val="20"/>
          <w:lang w:val="en-US"/>
        </w:rPr>
        <w:t>ting income. Bank BTN must increase its profit and operating income or reduce unproductive assets.</w:t>
      </w:r>
    </w:p>
    <w:p w:rsidR="00863C11" w:rsidRPr="00723AE8" w:rsidRDefault="00863C11" w:rsidP="00863C11">
      <w:pPr>
        <w:spacing w:after="0" w:line="240" w:lineRule="auto"/>
        <w:jc w:val="both"/>
        <w:rPr>
          <w:rFonts w:ascii="Book Antiqua" w:eastAsia="Calibri" w:hAnsi="Book Antiqua" w:cs="Times New Roman"/>
          <w:sz w:val="20"/>
          <w:szCs w:val="20"/>
          <w:lang w:val="en-US"/>
        </w:rPr>
      </w:pPr>
    </w:p>
    <w:p w:rsidR="00863C11" w:rsidRPr="00723AE8" w:rsidRDefault="00863C11" w:rsidP="00863C11">
      <w:pPr>
        <w:spacing w:after="0" w:line="240" w:lineRule="auto"/>
        <w:jc w:val="both"/>
        <w:rPr>
          <w:rFonts w:ascii="Book Antiqua" w:eastAsia="Calibri" w:hAnsi="Book Antiqua" w:cs="Times New Roman"/>
          <w:b/>
          <w:sz w:val="20"/>
          <w:szCs w:val="20"/>
          <w:lang w:val="en-US"/>
        </w:rPr>
      </w:pPr>
      <w:r w:rsidRPr="00723AE8">
        <w:rPr>
          <w:rFonts w:ascii="Book Antiqua" w:eastAsia="Calibri" w:hAnsi="Book Antiqua" w:cs="Times New Roman"/>
          <w:b/>
          <w:sz w:val="20"/>
          <w:szCs w:val="20"/>
          <w:lang w:val="en-US"/>
        </w:rPr>
        <w:t>Value of marketing efficiency 2017 and 2018</w:t>
      </w:r>
    </w:p>
    <w:p w:rsidR="00863C11" w:rsidRPr="00723AE8" w:rsidRDefault="002221B1" w:rsidP="002221B1">
      <w:pPr>
        <w:spacing w:after="0" w:line="240" w:lineRule="auto"/>
        <w:ind w:firstLine="426"/>
        <w:jc w:val="both"/>
        <w:rPr>
          <w:rFonts w:ascii="Book Antiqua" w:eastAsia="Calibri" w:hAnsi="Book Antiqua" w:cs="Times New Roman"/>
          <w:color w:val="000000"/>
          <w:sz w:val="20"/>
          <w:szCs w:val="20"/>
          <w:lang w:val="en-US"/>
        </w:rPr>
      </w:pPr>
      <w:r w:rsidRPr="00723AE8">
        <w:rPr>
          <w:rFonts w:ascii="Book Antiqua" w:eastAsia="Calibri" w:hAnsi="Book Antiqua" w:cs="Times New Roman"/>
          <w:color w:val="000000"/>
          <w:sz w:val="20"/>
          <w:szCs w:val="20"/>
          <w:lang w:val="en-US"/>
        </w:rPr>
        <w:t xml:space="preserve">The </w:t>
      </w:r>
      <w:r w:rsidR="00863C11" w:rsidRPr="00723AE8">
        <w:rPr>
          <w:rFonts w:ascii="Book Antiqua" w:eastAsia="Calibri" w:hAnsi="Book Antiqua" w:cs="Times New Roman"/>
          <w:color w:val="000000"/>
          <w:sz w:val="20"/>
          <w:szCs w:val="20"/>
          <w:lang w:val="en-US"/>
        </w:rPr>
        <w:t>valuation of marketing eff</w:t>
      </w:r>
      <w:r w:rsidRPr="00723AE8">
        <w:rPr>
          <w:rFonts w:ascii="Book Antiqua" w:eastAsia="Calibri" w:hAnsi="Book Antiqua" w:cs="Times New Roman"/>
          <w:color w:val="000000"/>
          <w:sz w:val="20"/>
          <w:szCs w:val="20"/>
          <w:lang w:val="en-US"/>
        </w:rPr>
        <w:t>iciency is done using</w:t>
      </w:r>
      <w:r w:rsidR="00723AE8" w:rsidRPr="00723AE8">
        <w:rPr>
          <w:rFonts w:ascii="Book Antiqua" w:eastAsia="Calibri" w:hAnsi="Book Antiqua" w:cs="Times New Roman"/>
          <w:color w:val="000000"/>
          <w:sz w:val="20"/>
          <w:szCs w:val="20"/>
          <w:lang w:val="en-US"/>
        </w:rPr>
        <w:t xml:space="preserve"> the input variables, consisting of</w:t>
      </w:r>
      <w:r w:rsidR="00863C11" w:rsidRPr="00723AE8">
        <w:rPr>
          <w:rFonts w:ascii="Book Antiqua" w:eastAsia="Calibri" w:hAnsi="Book Antiqua" w:cs="Times New Roman"/>
          <w:color w:val="000000"/>
          <w:sz w:val="20"/>
          <w:szCs w:val="20"/>
          <w:lang w:val="en-US"/>
        </w:rPr>
        <w:t xml:space="preserve"> earnings and operating income</w:t>
      </w:r>
      <w:r w:rsidRPr="00723AE8">
        <w:rPr>
          <w:rFonts w:ascii="Book Antiqua" w:eastAsia="Calibri" w:hAnsi="Book Antiqua" w:cs="Times New Roman"/>
          <w:color w:val="000000"/>
          <w:sz w:val="20"/>
          <w:szCs w:val="20"/>
          <w:lang w:val="en-US"/>
        </w:rPr>
        <w:t>,</w:t>
      </w:r>
      <w:r w:rsidR="00723AE8" w:rsidRPr="00723AE8">
        <w:rPr>
          <w:rFonts w:ascii="Book Antiqua" w:eastAsia="Calibri" w:hAnsi="Book Antiqua" w:cs="Times New Roman"/>
          <w:color w:val="000000"/>
          <w:sz w:val="20"/>
          <w:szCs w:val="20"/>
          <w:lang w:val="en-US"/>
        </w:rPr>
        <w:t xml:space="preserve"> and the output variables, consisting of market valu</w:t>
      </w:r>
      <w:r w:rsidR="00863C11" w:rsidRPr="00723AE8">
        <w:rPr>
          <w:rFonts w:ascii="Book Antiqua" w:eastAsia="Calibri" w:hAnsi="Book Antiqua" w:cs="Times New Roman"/>
          <w:color w:val="000000"/>
          <w:sz w:val="20"/>
          <w:szCs w:val="20"/>
          <w:lang w:val="en-US"/>
        </w:rPr>
        <w:t>e, return, and EPS (Seiford and Zhu (2014). The efficiency values are as in the following table:</w:t>
      </w:r>
    </w:p>
    <w:p w:rsidR="00F00584" w:rsidRDefault="00F00584" w:rsidP="00863C11">
      <w:pPr>
        <w:spacing w:after="0" w:line="240" w:lineRule="auto"/>
        <w:ind w:left="360"/>
        <w:jc w:val="both"/>
        <w:rPr>
          <w:rFonts w:ascii="Book Antiqua" w:eastAsia="Calibri" w:hAnsi="Book Antiqua" w:cs="Times New Roman"/>
          <w:color w:val="000000"/>
          <w:sz w:val="20"/>
          <w:szCs w:val="20"/>
          <w:lang w:val="en-US"/>
        </w:rPr>
        <w:sectPr w:rsidR="00F00584" w:rsidSect="00F00584">
          <w:type w:val="continuous"/>
          <w:pgSz w:w="12240" w:h="15840"/>
          <w:pgMar w:top="1440" w:right="1440" w:bottom="1440" w:left="1440" w:header="720" w:footer="720" w:gutter="0"/>
          <w:cols w:num="2" w:space="720"/>
          <w:docGrid w:linePitch="360"/>
        </w:sectPr>
      </w:pPr>
    </w:p>
    <w:p w:rsidR="00863C11" w:rsidRPr="00723AE8" w:rsidRDefault="00863C11" w:rsidP="00863C11">
      <w:pPr>
        <w:spacing w:after="0" w:line="240" w:lineRule="auto"/>
        <w:ind w:left="360"/>
        <w:jc w:val="both"/>
        <w:rPr>
          <w:rFonts w:ascii="Book Antiqua" w:eastAsia="Calibri" w:hAnsi="Book Antiqua" w:cs="Times New Roman"/>
          <w:color w:val="000000"/>
          <w:sz w:val="20"/>
          <w:szCs w:val="20"/>
          <w:lang w:val="en-US"/>
        </w:rPr>
      </w:pPr>
    </w:p>
    <w:p w:rsidR="00863C11" w:rsidRPr="00723AE8" w:rsidRDefault="00863C11" w:rsidP="00863C11">
      <w:pPr>
        <w:spacing w:after="0" w:line="240" w:lineRule="auto"/>
        <w:jc w:val="center"/>
        <w:rPr>
          <w:rFonts w:ascii="Book Antiqua" w:eastAsia="Calibri" w:hAnsi="Book Antiqua" w:cs="Times New Roman"/>
          <w:b/>
          <w:color w:val="000000"/>
          <w:sz w:val="20"/>
          <w:szCs w:val="20"/>
          <w:lang w:val="en-US"/>
        </w:rPr>
      </w:pPr>
      <w:r w:rsidRPr="00723AE8">
        <w:rPr>
          <w:rFonts w:ascii="Book Antiqua" w:eastAsia="Calibri" w:hAnsi="Book Antiqua" w:cs="Times New Roman"/>
          <w:b/>
          <w:color w:val="000000"/>
          <w:sz w:val="20"/>
          <w:szCs w:val="20"/>
          <w:lang w:val="en-US"/>
        </w:rPr>
        <w:t xml:space="preserve">Table 5 </w:t>
      </w:r>
    </w:p>
    <w:p w:rsidR="00863C11" w:rsidRPr="00723AE8" w:rsidRDefault="00863C11" w:rsidP="00863C11">
      <w:pPr>
        <w:spacing w:after="0" w:line="240" w:lineRule="auto"/>
        <w:jc w:val="center"/>
        <w:rPr>
          <w:rFonts w:ascii="Book Antiqua" w:eastAsia="Calibri" w:hAnsi="Book Antiqua" w:cs="Times New Roman"/>
          <w:b/>
          <w:sz w:val="20"/>
          <w:szCs w:val="20"/>
          <w:lang w:val="en-US"/>
        </w:rPr>
      </w:pPr>
      <w:r w:rsidRPr="00723AE8">
        <w:rPr>
          <w:rFonts w:ascii="Book Antiqua" w:eastAsia="Calibri" w:hAnsi="Book Antiqua" w:cs="Times New Roman"/>
          <w:b/>
          <w:sz w:val="20"/>
          <w:szCs w:val="20"/>
          <w:lang w:val="en-US"/>
        </w:rPr>
        <w:t>The Value of Marketing Efficiency</w:t>
      </w:r>
    </w:p>
    <w:tbl>
      <w:tblPr>
        <w:tblW w:w="5440" w:type="dxa"/>
        <w:jc w:val="center"/>
        <w:tblLook w:val="04A0" w:firstRow="1" w:lastRow="0" w:firstColumn="1" w:lastColumn="0" w:noHBand="0" w:noVBand="1"/>
      </w:tblPr>
      <w:tblGrid>
        <w:gridCol w:w="1560"/>
        <w:gridCol w:w="1140"/>
        <w:gridCol w:w="1560"/>
        <w:gridCol w:w="1180"/>
      </w:tblGrid>
      <w:tr w:rsidR="00863C11" w:rsidRPr="00723AE8" w:rsidTr="002221B1">
        <w:trPr>
          <w:trHeight w:val="315"/>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center"/>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Bank</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center"/>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2018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center"/>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Bank</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center"/>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2017</w:t>
            </w:r>
          </w:p>
        </w:tc>
      </w:tr>
      <w:tr w:rsidR="00863C11" w:rsidRPr="00723AE8" w:rsidTr="002221B1">
        <w:trPr>
          <w:trHeight w:val="315"/>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BCA</w:t>
            </w:r>
          </w:p>
        </w:tc>
        <w:tc>
          <w:tcPr>
            <w:tcW w:w="114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c>
          <w:tcPr>
            <w:tcW w:w="15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BCA</w:t>
            </w:r>
          </w:p>
        </w:tc>
        <w:tc>
          <w:tcPr>
            <w:tcW w:w="11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r>
      <w:tr w:rsidR="00863C11" w:rsidRPr="00723AE8" w:rsidTr="002221B1">
        <w:trPr>
          <w:trHeight w:val="315"/>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BRI</w:t>
            </w:r>
          </w:p>
        </w:tc>
        <w:tc>
          <w:tcPr>
            <w:tcW w:w="114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c>
          <w:tcPr>
            <w:tcW w:w="15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BRI</w:t>
            </w:r>
          </w:p>
        </w:tc>
        <w:tc>
          <w:tcPr>
            <w:tcW w:w="11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r>
      <w:tr w:rsidR="00863C11" w:rsidRPr="00723AE8" w:rsidTr="002221B1">
        <w:trPr>
          <w:trHeight w:val="315"/>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BTN</w:t>
            </w:r>
          </w:p>
        </w:tc>
        <w:tc>
          <w:tcPr>
            <w:tcW w:w="114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c>
          <w:tcPr>
            <w:tcW w:w="15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BTN</w:t>
            </w:r>
          </w:p>
        </w:tc>
        <w:tc>
          <w:tcPr>
            <w:tcW w:w="11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r>
      <w:tr w:rsidR="00863C11" w:rsidRPr="00723AE8" w:rsidTr="002221B1">
        <w:trPr>
          <w:trHeight w:val="315"/>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DANAMON</w:t>
            </w:r>
          </w:p>
        </w:tc>
        <w:tc>
          <w:tcPr>
            <w:tcW w:w="114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c>
          <w:tcPr>
            <w:tcW w:w="15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DANAMON</w:t>
            </w:r>
          </w:p>
        </w:tc>
        <w:tc>
          <w:tcPr>
            <w:tcW w:w="11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r>
      <w:tr w:rsidR="00863C11" w:rsidRPr="00723AE8" w:rsidTr="002221B1">
        <w:trPr>
          <w:trHeight w:val="315"/>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NISP</w:t>
            </w:r>
          </w:p>
        </w:tc>
        <w:tc>
          <w:tcPr>
            <w:tcW w:w="114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c>
          <w:tcPr>
            <w:tcW w:w="15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NISP</w:t>
            </w:r>
          </w:p>
        </w:tc>
        <w:tc>
          <w:tcPr>
            <w:tcW w:w="11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r>
      <w:tr w:rsidR="00863C11" w:rsidRPr="00723AE8" w:rsidTr="002221B1">
        <w:trPr>
          <w:trHeight w:val="315"/>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PANIN</w:t>
            </w:r>
          </w:p>
        </w:tc>
        <w:tc>
          <w:tcPr>
            <w:tcW w:w="114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c>
          <w:tcPr>
            <w:tcW w:w="15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PANIN</w:t>
            </w:r>
          </w:p>
        </w:tc>
        <w:tc>
          <w:tcPr>
            <w:tcW w:w="11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r>
      <w:tr w:rsidR="00863C11" w:rsidRPr="00723AE8" w:rsidTr="002221B1">
        <w:trPr>
          <w:trHeight w:val="315"/>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BNI</w:t>
            </w:r>
          </w:p>
        </w:tc>
        <w:tc>
          <w:tcPr>
            <w:tcW w:w="114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58.00%</w:t>
            </w:r>
          </w:p>
        </w:tc>
        <w:tc>
          <w:tcPr>
            <w:tcW w:w="15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MAYBANK</w:t>
            </w:r>
          </w:p>
        </w:tc>
        <w:tc>
          <w:tcPr>
            <w:tcW w:w="11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r>
      <w:tr w:rsidR="00863C11" w:rsidRPr="00723AE8" w:rsidTr="002221B1">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MANDIRI</w:t>
            </w:r>
          </w:p>
        </w:tc>
        <w:tc>
          <w:tcPr>
            <w:tcW w:w="114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51.10%</w:t>
            </w:r>
          </w:p>
        </w:tc>
        <w:tc>
          <w:tcPr>
            <w:tcW w:w="15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BNI</w:t>
            </w:r>
          </w:p>
        </w:tc>
        <w:tc>
          <w:tcPr>
            <w:tcW w:w="11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94.10%</w:t>
            </w:r>
          </w:p>
        </w:tc>
      </w:tr>
      <w:tr w:rsidR="00863C11" w:rsidRPr="00723AE8" w:rsidTr="002221B1">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MAYBANK</w:t>
            </w:r>
          </w:p>
        </w:tc>
        <w:tc>
          <w:tcPr>
            <w:tcW w:w="114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39.70%</w:t>
            </w:r>
          </w:p>
        </w:tc>
        <w:tc>
          <w:tcPr>
            <w:tcW w:w="15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NIAGA</w:t>
            </w:r>
          </w:p>
        </w:tc>
        <w:tc>
          <w:tcPr>
            <w:tcW w:w="11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74.10%</w:t>
            </w:r>
          </w:p>
        </w:tc>
      </w:tr>
      <w:tr w:rsidR="00863C11" w:rsidRPr="00723AE8" w:rsidTr="002221B1">
        <w:trPr>
          <w:trHeight w:val="315"/>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NIAGA</w:t>
            </w:r>
          </w:p>
        </w:tc>
        <w:tc>
          <w:tcPr>
            <w:tcW w:w="114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27.60%</w:t>
            </w:r>
          </w:p>
        </w:tc>
        <w:tc>
          <w:tcPr>
            <w:tcW w:w="15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MANDIRI</w:t>
            </w:r>
          </w:p>
        </w:tc>
        <w:tc>
          <w:tcPr>
            <w:tcW w:w="11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37.90%</w:t>
            </w:r>
          </w:p>
        </w:tc>
      </w:tr>
      <w:tr w:rsidR="00863C11" w:rsidRPr="00723AE8" w:rsidTr="002221B1">
        <w:trPr>
          <w:trHeight w:val="315"/>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Average</w:t>
            </w:r>
          </w:p>
        </w:tc>
        <w:tc>
          <w:tcPr>
            <w:tcW w:w="114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77.64%</w:t>
            </w:r>
          </w:p>
        </w:tc>
        <w:tc>
          <w:tcPr>
            <w:tcW w:w="15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Average</w:t>
            </w:r>
          </w:p>
        </w:tc>
        <w:tc>
          <w:tcPr>
            <w:tcW w:w="11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90.61%</w:t>
            </w:r>
          </w:p>
        </w:tc>
      </w:tr>
    </w:tbl>
    <w:p w:rsidR="00863C11" w:rsidRPr="00723AE8" w:rsidRDefault="00863C11" w:rsidP="00863C11">
      <w:pPr>
        <w:spacing w:after="0" w:line="240" w:lineRule="auto"/>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 xml:space="preserve">                                 </w:t>
      </w:r>
    </w:p>
    <w:p w:rsidR="00F00584" w:rsidRDefault="00F00584" w:rsidP="00723AE8">
      <w:pPr>
        <w:spacing w:after="0" w:line="240" w:lineRule="auto"/>
        <w:ind w:firstLine="426"/>
        <w:jc w:val="both"/>
        <w:rPr>
          <w:rFonts w:ascii="Book Antiqua" w:eastAsia="Calibri" w:hAnsi="Book Antiqua" w:cs="Times New Roman"/>
          <w:sz w:val="20"/>
          <w:szCs w:val="20"/>
          <w:lang w:val="en-US"/>
        </w:rPr>
        <w:sectPr w:rsidR="00F00584" w:rsidSect="007531D4">
          <w:type w:val="continuous"/>
          <w:pgSz w:w="12240" w:h="15840"/>
          <w:pgMar w:top="1440" w:right="1440" w:bottom="1440" w:left="1440" w:header="720" w:footer="720" w:gutter="0"/>
          <w:cols w:space="720"/>
          <w:docGrid w:linePitch="360"/>
        </w:sectPr>
      </w:pPr>
    </w:p>
    <w:p w:rsidR="00723AE8" w:rsidRPr="00723AE8" w:rsidRDefault="00863C11" w:rsidP="00723AE8">
      <w:pPr>
        <w:spacing w:after="0" w:line="240" w:lineRule="auto"/>
        <w:ind w:firstLine="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Based on information in Table 5 above, it can be seen that in 2017 and 2018 there were 6 banks that consistently obtained maximum levels of efficiency, with category “good”, namely BCA, BRI, BTN, DANAMON, NISP and Bank PANIN. Bank MAYBANK reached the category “good” only in 2017, while in 2018 it ob</w:t>
      </w:r>
      <w:r w:rsidR="008F7159">
        <w:rPr>
          <w:rFonts w:ascii="Book Antiqua" w:eastAsia="Calibri" w:hAnsi="Book Antiqua" w:cs="Times New Roman"/>
          <w:sz w:val="20"/>
          <w:szCs w:val="20"/>
          <w:lang w:val="en-US"/>
        </w:rPr>
        <w:t>tained the cat</w:t>
      </w:r>
      <w:r w:rsidRPr="00723AE8">
        <w:rPr>
          <w:rFonts w:ascii="Book Antiqua" w:eastAsia="Calibri" w:hAnsi="Book Antiqua" w:cs="Times New Roman"/>
          <w:sz w:val="20"/>
          <w:szCs w:val="20"/>
          <w:lang w:val="en-US"/>
        </w:rPr>
        <w:t xml:space="preserve">egory “less good. Bank </w:t>
      </w:r>
      <w:smartTag w:uri="urn:schemas-microsoft-com:office:smarttags" w:element="stockticker">
        <w:r w:rsidRPr="00723AE8">
          <w:rPr>
            <w:rFonts w:ascii="Book Antiqua" w:eastAsia="Calibri" w:hAnsi="Book Antiqua" w:cs="Times New Roman"/>
            <w:sz w:val="20"/>
            <w:szCs w:val="20"/>
            <w:lang w:val="en-US"/>
          </w:rPr>
          <w:t>BNI</w:t>
        </w:r>
      </w:smartTag>
      <w:r w:rsidRPr="00723AE8">
        <w:rPr>
          <w:rFonts w:ascii="Book Antiqua" w:eastAsia="Calibri" w:hAnsi="Book Antiqua" w:cs="Times New Roman"/>
          <w:sz w:val="20"/>
          <w:szCs w:val="20"/>
          <w:lang w:val="en-US"/>
        </w:rPr>
        <w:t xml:space="preserve"> obtained category “fairly good” in 2017. Bank Mandiri recorded the lowest in 2017 and Bank Niaga recorded the lowest in 2018. The average level of marketing efficiency decreased from 2017 to 2018 with the category “less good”.</w:t>
      </w:r>
    </w:p>
    <w:p w:rsidR="00863C11" w:rsidRPr="00723AE8" w:rsidRDefault="00863C11" w:rsidP="00723AE8">
      <w:pPr>
        <w:spacing w:after="0" w:line="240" w:lineRule="auto"/>
        <w:ind w:firstLine="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To increase the value of efficiency so as to obtain “good” category, the banks can make efforts as shown in the following table:</w:t>
      </w:r>
    </w:p>
    <w:p w:rsidR="00F00584" w:rsidRDefault="00F00584" w:rsidP="00863C11">
      <w:pPr>
        <w:spacing w:after="0" w:line="240" w:lineRule="auto"/>
        <w:jc w:val="both"/>
        <w:rPr>
          <w:rFonts w:ascii="Book Antiqua" w:eastAsia="Calibri" w:hAnsi="Book Antiqua" w:cs="Times New Roman"/>
          <w:sz w:val="20"/>
          <w:szCs w:val="20"/>
          <w:lang w:val="en-US"/>
        </w:rPr>
        <w:sectPr w:rsidR="00F00584" w:rsidSect="00F00584">
          <w:type w:val="continuous"/>
          <w:pgSz w:w="12240" w:h="15840"/>
          <w:pgMar w:top="1440" w:right="1440" w:bottom="1440" w:left="1440" w:header="720" w:footer="720" w:gutter="0"/>
          <w:cols w:num="2" w:space="720"/>
          <w:docGrid w:linePitch="360"/>
        </w:sectPr>
      </w:pPr>
    </w:p>
    <w:p w:rsidR="00863C11" w:rsidRPr="00723AE8" w:rsidRDefault="00863C11" w:rsidP="00863C11">
      <w:pPr>
        <w:spacing w:after="0" w:line="240" w:lineRule="auto"/>
        <w:jc w:val="both"/>
        <w:rPr>
          <w:rFonts w:ascii="Book Antiqua" w:eastAsia="Calibri" w:hAnsi="Book Antiqua" w:cs="Times New Roman"/>
          <w:sz w:val="20"/>
          <w:szCs w:val="20"/>
          <w:lang w:val="en-US"/>
        </w:rPr>
      </w:pPr>
    </w:p>
    <w:p w:rsidR="00863C11" w:rsidRPr="00723AE8" w:rsidRDefault="00863C11" w:rsidP="00863C11">
      <w:pPr>
        <w:spacing w:after="0" w:line="240" w:lineRule="auto"/>
        <w:jc w:val="center"/>
        <w:rPr>
          <w:rFonts w:ascii="Book Antiqua" w:eastAsia="Calibri" w:hAnsi="Book Antiqua" w:cs="Times New Roman"/>
          <w:b/>
          <w:sz w:val="20"/>
          <w:szCs w:val="20"/>
          <w:lang w:val="en-US"/>
        </w:rPr>
      </w:pPr>
      <w:r w:rsidRPr="00723AE8">
        <w:rPr>
          <w:rFonts w:ascii="Book Antiqua" w:eastAsia="Calibri" w:hAnsi="Book Antiqua" w:cs="Times New Roman"/>
          <w:b/>
          <w:sz w:val="20"/>
          <w:szCs w:val="20"/>
          <w:lang w:val="en-US"/>
        </w:rPr>
        <w:t xml:space="preserve">Table 6 </w:t>
      </w:r>
    </w:p>
    <w:p w:rsidR="00863C11" w:rsidRPr="00723AE8" w:rsidRDefault="00863C11" w:rsidP="00863C11">
      <w:pPr>
        <w:spacing w:after="0" w:line="240" w:lineRule="auto"/>
        <w:jc w:val="center"/>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 xml:space="preserve">Potential Improvement </w:t>
      </w:r>
      <w:r w:rsidR="00723AE8" w:rsidRPr="00723AE8">
        <w:rPr>
          <w:rFonts w:ascii="Book Antiqua" w:eastAsia="Times New Roman" w:hAnsi="Book Antiqua" w:cs="Times New Roman"/>
          <w:b/>
          <w:bCs/>
          <w:color w:val="000000"/>
          <w:sz w:val="20"/>
          <w:szCs w:val="20"/>
          <w:lang w:val="en-US"/>
        </w:rPr>
        <w:t>in Marketing Ef</w:t>
      </w:r>
      <w:r w:rsidRPr="00723AE8">
        <w:rPr>
          <w:rFonts w:ascii="Book Antiqua" w:eastAsia="Times New Roman" w:hAnsi="Book Antiqua" w:cs="Times New Roman"/>
          <w:b/>
          <w:bCs/>
          <w:color w:val="000000"/>
          <w:sz w:val="20"/>
          <w:szCs w:val="20"/>
          <w:lang w:val="en-US"/>
        </w:rPr>
        <w:t>ficiency 2017</w:t>
      </w:r>
    </w:p>
    <w:tbl>
      <w:tblPr>
        <w:tblW w:w="4927" w:type="dxa"/>
        <w:jc w:val="center"/>
        <w:tblLook w:val="04A0" w:firstRow="1" w:lastRow="0" w:firstColumn="1" w:lastColumn="0" w:noHBand="0" w:noVBand="1"/>
      </w:tblPr>
      <w:tblGrid>
        <w:gridCol w:w="1540"/>
        <w:gridCol w:w="1220"/>
        <w:gridCol w:w="972"/>
        <w:gridCol w:w="1495"/>
      </w:tblGrid>
      <w:tr w:rsidR="00863C11" w:rsidRPr="00723AE8" w:rsidTr="002221B1">
        <w:trPr>
          <w:trHeight w:val="315"/>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Input / output</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BNI</w:t>
            </w:r>
          </w:p>
        </w:tc>
        <w:tc>
          <w:tcPr>
            <w:tcW w:w="672"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Mandiri</w:t>
            </w:r>
          </w:p>
        </w:tc>
        <w:tc>
          <w:tcPr>
            <w:tcW w:w="1495"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Niaga</w:t>
            </w:r>
          </w:p>
        </w:tc>
      </w:tr>
      <w:tr w:rsidR="00863C11" w:rsidRPr="00723AE8" w:rsidTr="002221B1">
        <w:trPr>
          <w:trHeight w:val="315"/>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Market Value</w:t>
            </w:r>
          </w:p>
        </w:tc>
        <w:tc>
          <w:tcPr>
            <w:tcW w:w="12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6.23%</w:t>
            </w:r>
          </w:p>
        </w:tc>
        <w:tc>
          <w:tcPr>
            <w:tcW w:w="672"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163.71%</w:t>
            </w:r>
          </w:p>
        </w:tc>
        <w:tc>
          <w:tcPr>
            <w:tcW w:w="1495"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149.64%</w:t>
            </w:r>
          </w:p>
        </w:tc>
      </w:tr>
      <w:tr w:rsidR="00863C11" w:rsidRPr="00723AE8" w:rsidTr="002221B1">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i/>
                <w:iCs/>
                <w:color w:val="000000"/>
                <w:sz w:val="20"/>
                <w:szCs w:val="20"/>
                <w:lang w:val="en-US"/>
              </w:rPr>
            </w:pPr>
            <w:r w:rsidRPr="00723AE8">
              <w:rPr>
                <w:rFonts w:ascii="Book Antiqua" w:eastAsia="Times New Roman" w:hAnsi="Book Antiqua" w:cs="Times New Roman"/>
                <w:i/>
                <w:iCs/>
                <w:color w:val="000000"/>
                <w:sz w:val="20"/>
                <w:szCs w:val="20"/>
                <w:lang w:val="en-US"/>
              </w:rPr>
              <w:t>Return</w:t>
            </w:r>
          </w:p>
        </w:tc>
        <w:tc>
          <w:tcPr>
            <w:tcW w:w="12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6.23%</w:t>
            </w:r>
          </w:p>
        </w:tc>
        <w:tc>
          <w:tcPr>
            <w:tcW w:w="672"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372.82%</w:t>
            </w:r>
          </w:p>
        </w:tc>
        <w:tc>
          <w:tcPr>
            <w:tcW w:w="1495"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34.95%</w:t>
            </w:r>
          </w:p>
        </w:tc>
      </w:tr>
      <w:tr w:rsidR="00863C11" w:rsidRPr="00723AE8" w:rsidTr="002221B1">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EPS</w:t>
            </w:r>
          </w:p>
        </w:tc>
        <w:tc>
          <w:tcPr>
            <w:tcW w:w="12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6.23%</w:t>
            </w:r>
          </w:p>
        </w:tc>
        <w:tc>
          <w:tcPr>
            <w:tcW w:w="672"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163.71%</w:t>
            </w:r>
          </w:p>
        </w:tc>
        <w:tc>
          <w:tcPr>
            <w:tcW w:w="1495"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128.14%</w:t>
            </w:r>
          </w:p>
        </w:tc>
      </w:tr>
    </w:tbl>
    <w:p w:rsidR="00863C11" w:rsidRPr="00723AE8" w:rsidRDefault="00863C11" w:rsidP="00863C11">
      <w:pPr>
        <w:spacing w:after="0" w:line="240" w:lineRule="auto"/>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 xml:space="preserve">                                  </w:t>
      </w:r>
    </w:p>
    <w:p w:rsidR="00863C11" w:rsidRPr="00723AE8" w:rsidRDefault="00863C11" w:rsidP="00863C11">
      <w:pPr>
        <w:spacing w:after="0" w:line="240" w:lineRule="auto"/>
        <w:jc w:val="both"/>
        <w:rPr>
          <w:rFonts w:ascii="Book Antiqua" w:eastAsia="Calibri" w:hAnsi="Book Antiqua" w:cs="Times New Roman"/>
          <w:sz w:val="20"/>
          <w:szCs w:val="20"/>
          <w:lang w:val="en-US"/>
        </w:rPr>
      </w:pPr>
    </w:p>
    <w:p w:rsidR="00F00584" w:rsidRDefault="00F00584" w:rsidP="00723AE8">
      <w:pPr>
        <w:spacing w:after="0" w:line="240" w:lineRule="auto"/>
        <w:ind w:firstLine="426"/>
        <w:jc w:val="both"/>
        <w:rPr>
          <w:rFonts w:ascii="Book Antiqua" w:eastAsia="Calibri" w:hAnsi="Book Antiqua" w:cs="Times New Roman"/>
          <w:sz w:val="20"/>
          <w:szCs w:val="20"/>
          <w:lang w:val="en-US"/>
        </w:rPr>
        <w:sectPr w:rsidR="00F00584" w:rsidSect="007531D4">
          <w:type w:val="continuous"/>
          <w:pgSz w:w="12240" w:h="15840"/>
          <w:pgMar w:top="1440" w:right="1440" w:bottom="1440" w:left="1440" w:header="720" w:footer="720" w:gutter="0"/>
          <w:cols w:space="720"/>
          <w:docGrid w:linePitch="360"/>
        </w:sectPr>
      </w:pPr>
    </w:p>
    <w:p w:rsidR="00863C11" w:rsidRPr="00723AE8" w:rsidRDefault="00863C11" w:rsidP="00723AE8">
      <w:pPr>
        <w:spacing w:after="0" w:line="240" w:lineRule="auto"/>
        <w:ind w:firstLine="426"/>
        <w:jc w:val="both"/>
        <w:rPr>
          <w:rFonts w:ascii="Book Antiqua" w:eastAsia="Times New Roman" w:hAnsi="Book Antiqua" w:cs="Times New Roman"/>
          <w:color w:val="000000"/>
          <w:sz w:val="20"/>
          <w:szCs w:val="20"/>
          <w:lang w:val="en-US"/>
        </w:rPr>
      </w:pPr>
      <w:r w:rsidRPr="00723AE8">
        <w:rPr>
          <w:rFonts w:ascii="Book Antiqua" w:eastAsia="Calibri" w:hAnsi="Book Antiqua" w:cs="Times New Roman"/>
          <w:sz w:val="20"/>
          <w:szCs w:val="20"/>
          <w:lang w:val="en-US"/>
        </w:rPr>
        <w:t>Based on information in Table 6 above, in order to achieve the "good" category, each bank must increase its market value, return and EPS. Bank Mandiri must increase the market value, return and EPS to the largest in percentage followed by Bank Niaga and Bank BNI, because the value of efficiency of  Bank Mandiri is the lowest compared to Bank Niaga and BNI.</w:t>
      </w:r>
    </w:p>
    <w:p w:rsidR="00F00584" w:rsidRDefault="00F00584" w:rsidP="00863C11">
      <w:pPr>
        <w:spacing w:after="0" w:line="240" w:lineRule="auto"/>
        <w:jc w:val="both"/>
        <w:rPr>
          <w:rFonts w:ascii="Book Antiqua" w:eastAsia="Calibri" w:hAnsi="Book Antiqua" w:cs="Times New Roman"/>
          <w:sz w:val="20"/>
          <w:szCs w:val="20"/>
          <w:lang w:val="en-US"/>
        </w:rPr>
        <w:sectPr w:rsidR="00F00584" w:rsidSect="00F00584">
          <w:type w:val="continuous"/>
          <w:pgSz w:w="12240" w:h="15840"/>
          <w:pgMar w:top="1440" w:right="1440" w:bottom="1440" w:left="1440" w:header="720" w:footer="720" w:gutter="0"/>
          <w:cols w:num="2" w:space="720"/>
          <w:docGrid w:linePitch="360"/>
        </w:sectPr>
      </w:pPr>
    </w:p>
    <w:p w:rsidR="00863C11" w:rsidRPr="00723AE8" w:rsidRDefault="00863C11" w:rsidP="00863C11">
      <w:pPr>
        <w:spacing w:after="0" w:line="240" w:lineRule="auto"/>
        <w:jc w:val="both"/>
        <w:rPr>
          <w:rFonts w:ascii="Book Antiqua" w:eastAsia="Calibri" w:hAnsi="Book Antiqua" w:cs="Times New Roman"/>
          <w:sz w:val="20"/>
          <w:szCs w:val="20"/>
          <w:lang w:val="en-US"/>
        </w:rPr>
      </w:pPr>
    </w:p>
    <w:p w:rsidR="00863C11" w:rsidRPr="00723AE8" w:rsidRDefault="00863C11" w:rsidP="00863C11">
      <w:pPr>
        <w:spacing w:after="0" w:line="240" w:lineRule="auto"/>
        <w:jc w:val="center"/>
        <w:rPr>
          <w:rFonts w:ascii="Book Antiqua" w:eastAsia="Calibri" w:hAnsi="Book Antiqua" w:cs="Times New Roman"/>
          <w:b/>
          <w:sz w:val="20"/>
          <w:szCs w:val="20"/>
          <w:lang w:val="en-US"/>
        </w:rPr>
      </w:pPr>
      <w:r w:rsidRPr="00723AE8">
        <w:rPr>
          <w:rFonts w:ascii="Book Antiqua" w:eastAsia="Calibri" w:hAnsi="Book Antiqua" w:cs="Times New Roman"/>
          <w:b/>
          <w:sz w:val="20"/>
          <w:szCs w:val="20"/>
          <w:lang w:val="en-US"/>
        </w:rPr>
        <w:t xml:space="preserve">Table 7 </w:t>
      </w:r>
    </w:p>
    <w:p w:rsidR="00863C11" w:rsidRPr="00723AE8" w:rsidRDefault="00863C11" w:rsidP="00863C11">
      <w:pPr>
        <w:spacing w:after="0" w:line="240" w:lineRule="auto"/>
        <w:jc w:val="center"/>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Potential Improvement in Marketing Efficiency 2018</w:t>
      </w:r>
    </w:p>
    <w:tbl>
      <w:tblPr>
        <w:tblW w:w="6560" w:type="dxa"/>
        <w:jc w:val="center"/>
        <w:tblLook w:val="04A0" w:firstRow="1" w:lastRow="0" w:firstColumn="1" w:lastColumn="0" w:noHBand="0" w:noVBand="1"/>
      </w:tblPr>
      <w:tblGrid>
        <w:gridCol w:w="1560"/>
        <w:gridCol w:w="1140"/>
        <w:gridCol w:w="1560"/>
        <w:gridCol w:w="1180"/>
        <w:gridCol w:w="1120"/>
      </w:tblGrid>
      <w:tr w:rsidR="00863C11" w:rsidRPr="00723AE8" w:rsidTr="002221B1">
        <w:trPr>
          <w:trHeight w:val="315"/>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b/>
                <w:bCs/>
                <w:i/>
                <w:iCs/>
                <w:color w:val="000000"/>
                <w:sz w:val="20"/>
                <w:szCs w:val="20"/>
                <w:lang w:val="en-US"/>
              </w:rPr>
            </w:pPr>
            <w:r w:rsidRPr="00723AE8">
              <w:rPr>
                <w:rFonts w:ascii="Book Antiqua" w:eastAsia="Times New Roman" w:hAnsi="Book Antiqua" w:cs="Times New Roman"/>
                <w:b/>
                <w:bCs/>
                <w:i/>
                <w:iCs/>
                <w:color w:val="000000"/>
                <w:sz w:val="20"/>
                <w:szCs w:val="20"/>
                <w:lang w:val="en-US"/>
              </w:rPr>
              <w:t>Input</w:t>
            </w:r>
            <w:r w:rsidR="008F7159">
              <w:rPr>
                <w:rFonts w:ascii="Book Antiqua" w:eastAsia="Times New Roman" w:hAnsi="Book Antiqua" w:cs="Times New Roman"/>
                <w:b/>
                <w:bCs/>
                <w:i/>
                <w:iCs/>
                <w:color w:val="000000"/>
                <w:sz w:val="20"/>
                <w:szCs w:val="20"/>
                <w:lang w:val="en-US"/>
              </w:rPr>
              <w:t xml:space="preserve"> </w:t>
            </w:r>
            <w:r w:rsidRPr="00723AE8">
              <w:rPr>
                <w:rFonts w:ascii="Book Antiqua" w:eastAsia="Times New Roman" w:hAnsi="Book Antiqua" w:cs="Times New Roman"/>
                <w:b/>
                <w:bCs/>
                <w:i/>
                <w:iCs/>
                <w:color w:val="000000"/>
                <w:sz w:val="20"/>
                <w:szCs w:val="20"/>
                <w:lang w:val="en-US"/>
              </w:rPr>
              <w:t>/</w:t>
            </w:r>
            <w:r w:rsidR="008F7159">
              <w:rPr>
                <w:rFonts w:ascii="Book Antiqua" w:eastAsia="Times New Roman" w:hAnsi="Book Antiqua" w:cs="Times New Roman"/>
                <w:b/>
                <w:bCs/>
                <w:i/>
                <w:iCs/>
                <w:color w:val="000000"/>
                <w:sz w:val="20"/>
                <w:szCs w:val="20"/>
                <w:lang w:val="en-US"/>
              </w:rPr>
              <w:t xml:space="preserve"> </w:t>
            </w:r>
            <w:r w:rsidRPr="00723AE8">
              <w:rPr>
                <w:rFonts w:ascii="Book Antiqua" w:eastAsia="Times New Roman" w:hAnsi="Book Antiqua" w:cs="Times New Roman"/>
                <w:b/>
                <w:bCs/>
                <w:i/>
                <w:iCs/>
                <w:color w:val="000000"/>
                <w:sz w:val="20"/>
                <w:szCs w:val="20"/>
                <w:lang w:val="en-US"/>
              </w:rPr>
              <w:t>Output</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BNI</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Mandiri</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Maybank</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Niaga</w:t>
            </w:r>
          </w:p>
        </w:tc>
      </w:tr>
      <w:tr w:rsidR="00863C11" w:rsidRPr="00723AE8" w:rsidTr="002221B1">
        <w:trPr>
          <w:trHeight w:val="315"/>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Market Value</w:t>
            </w:r>
          </w:p>
        </w:tc>
        <w:tc>
          <w:tcPr>
            <w:tcW w:w="114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72.27%</w:t>
            </w:r>
          </w:p>
        </w:tc>
        <w:tc>
          <w:tcPr>
            <w:tcW w:w="15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227.19%</w:t>
            </w:r>
          </w:p>
        </w:tc>
        <w:tc>
          <w:tcPr>
            <w:tcW w:w="11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441.37%</w:t>
            </w:r>
          </w:p>
        </w:tc>
        <w:tc>
          <w:tcPr>
            <w:tcW w:w="11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261.81%</w:t>
            </w:r>
          </w:p>
        </w:tc>
      </w:tr>
      <w:tr w:rsidR="00863C11" w:rsidRPr="00723AE8" w:rsidTr="002221B1">
        <w:trPr>
          <w:trHeight w:val="315"/>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i/>
                <w:iCs/>
                <w:color w:val="000000"/>
                <w:sz w:val="20"/>
                <w:szCs w:val="20"/>
                <w:lang w:val="en-US"/>
              </w:rPr>
            </w:pPr>
            <w:r w:rsidRPr="00723AE8">
              <w:rPr>
                <w:rFonts w:ascii="Book Antiqua" w:eastAsia="Times New Roman" w:hAnsi="Book Antiqua" w:cs="Times New Roman"/>
                <w:i/>
                <w:iCs/>
                <w:color w:val="000000"/>
                <w:sz w:val="20"/>
                <w:szCs w:val="20"/>
                <w:lang w:val="en-US"/>
              </w:rPr>
              <w:t>Return</w:t>
            </w:r>
          </w:p>
        </w:tc>
        <w:tc>
          <w:tcPr>
            <w:tcW w:w="114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100.23%</w:t>
            </w:r>
          </w:p>
        </w:tc>
        <w:tc>
          <w:tcPr>
            <w:tcW w:w="15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95.67%</w:t>
            </w:r>
          </w:p>
        </w:tc>
        <w:tc>
          <w:tcPr>
            <w:tcW w:w="11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152.08%</w:t>
            </w:r>
          </w:p>
        </w:tc>
        <w:tc>
          <w:tcPr>
            <w:tcW w:w="11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8787.97%</w:t>
            </w:r>
          </w:p>
        </w:tc>
      </w:tr>
      <w:tr w:rsidR="00863C11" w:rsidRPr="00723AE8" w:rsidTr="002221B1">
        <w:trPr>
          <w:trHeight w:val="315"/>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EPS</w:t>
            </w:r>
          </w:p>
        </w:tc>
        <w:tc>
          <w:tcPr>
            <w:tcW w:w="114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72.27%</w:t>
            </w:r>
          </w:p>
        </w:tc>
        <w:tc>
          <w:tcPr>
            <w:tcW w:w="15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95.67%</w:t>
            </w:r>
          </w:p>
        </w:tc>
        <w:tc>
          <w:tcPr>
            <w:tcW w:w="11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321.07%</w:t>
            </w:r>
          </w:p>
        </w:tc>
        <w:tc>
          <w:tcPr>
            <w:tcW w:w="11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261.81%</w:t>
            </w:r>
          </w:p>
        </w:tc>
      </w:tr>
    </w:tbl>
    <w:p w:rsidR="00863C11" w:rsidRPr="00723AE8" w:rsidRDefault="00863C11" w:rsidP="00723AE8">
      <w:pPr>
        <w:spacing w:after="0" w:line="240" w:lineRule="auto"/>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 xml:space="preserve">                       </w:t>
      </w:r>
    </w:p>
    <w:p w:rsidR="00F00584" w:rsidRDefault="00F00584" w:rsidP="00863C11">
      <w:pPr>
        <w:spacing w:after="0" w:line="240" w:lineRule="auto"/>
        <w:ind w:firstLine="360"/>
        <w:jc w:val="both"/>
        <w:rPr>
          <w:rFonts w:ascii="Book Antiqua" w:eastAsia="Calibri" w:hAnsi="Book Antiqua" w:cs="Times New Roman"/>
          <w:sz w:val="20"/>
          <w:szCs w:val="20"/>
          <w:lang w:val="en-US"/>
        </w:rPr>
        <w:sectPr w:rsidR="00F00584" w:rsidSect="007531D4">
          <w:type w:val="continuous"/>
          <w:pgSz w:w="12240" w:h="15840"/>
          <w:pgMar w:top="1440" w:right="1440" w:bottom="1440" w:left="1440" w:header="720" w:footer="720" w:gutter="0"/>
          <w:cols w:space="720"/>
          <w:docGrid w:linePitch="360"/>
        </w:sectPr>
      </w:pPr>
    </w:p>
    <w:p w:rsidR="00863C11" w:rsidRPr="00723AE8" w:rsidRDefault="00863C11" w:rsidP="00863C11">
      <w:pPr>
        <w:spacing w:after="0" w:line="240" w:lineRule="auto"/>
        <w:ind w:firstLine="360"/>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Based on information in table 7 above, in order to reach the "good" category, each bank must increase market value, return and EPS. Bank Niaga made the biggest improvement effort, followed by Bank Maybank, Mandiri, and BNI according to the ranking of the efficiency values of each bank in table 6: Bank BNI, Mandiri, Maybank and Niaga.</w:t>
      </w:r>
    </w:p>
    <w:p w:rsidR="00863C11" w:rsidRPr="00723AE8" w:rsidRDefault="00863C11" w:rsidP="00863C11">
      <w:pPr>
        <w:spacing w:after="0" w:line="240" w:lineRule="auto"/>
        <w:ind w:firstLine="360"/>
        <w:jc w:val="both"/>
        <w:rPr>
          <w:rFonts w:ascii="Book Antiqua" w:eastAsia="Calibri" w:hAnsi="Book Antiqua" w:cs="Times New Roman"/>
          <w:sz w:val="20"/>
          <w:szCs w:val="20"/>
          <w:lang w:val="en-US"/>
        </w:rPr>
      </w:pPr>
    </w:p>
    <w:p w:rsidR="00863C11" w:rsidRPr="00723AE8" w:rsidRDefault="00863C11" w:rsidP="00863C11">
      <w:pPr>
        <w:spacing w:after="0" w:line="240" w:lineRule="auto"/>
        <w:jc w:val="both"/>
        <w:rPr>
          <w:rFonts w:ascii="Book Antiqua" w:eastAsia="Calibri" w:hAnsi="Book Antiqua" w:cs="Times New Roman"/>
          <w:b/>
          <w:sz w:val="20"/>
          <w:szCs w:val="20"/>
          <w:lang w:val="en-US"/>
        </w:rPr>
      </w:pPr>
      <w:r w:rsidRPr="00723AE8">
        <w:rPr>
          <w:rFonts w:ascii="Book Antiqua" w:eastAsia="Calibri" w:hAnsi="Book Antiqua" w:cs="Times New Roman"/>
          <w:b/>
          <w:sz w:val="20"/>
          <w:szCs w:val="20"/>
          <w:lang w:val="en-US"/>
        </w:rPr>
        <w:t xml:space="preserve">Analysis of </w:t>
      </w:r>
      <w:r w:rsidR="00723AE8" w:rsidRPr="00723AE8">
        <w:rPr>
          <w:rFonts w:ascii="Book Antiqua" w:eastAsia="Calibri" w:hAnsi="Book Antiqua" w:cs="Times New Roman"/>
          <w:b/>
          <w:sz w:val="20"/>
          <w:szCs w:val="20"/>
          <w:lang w:val="en-US"/>
        </w:rPr>
        <w:t>Bank Marketing</w:t>
      </w:r>
      <w:r w:rsidRPr="00723AE8">
        <w:rPr>
          <w:rFonts w:ascii="Book Antiqua" w:eastAsia="Calibri" w:hAnsi="Book Antiqua" w:cs="Times New Roman"/>
          <w:b/>
          <w:sz w:val="20"/>
          <w:szCs w:val="20"/>
          <w:lang w:val="en-US"/>
        </w:rPr>
        <w:t xml:space="preserve"> 2018 and 2017 with </w:t>
      </w:r>
      <w:r w:rsidR="00723AE8" w:rsidRPr="00723AE8">
        <w:rPr>
          <w:rFonts w:ascii="Book Antiqua" w:eastAsia="Calibri" w:hAnsi="Book Antiqua" w:cs="Times New Roman"/>
          <w:b/>
          <w:sz w:val="20"/>
          <w:szCs w:val="20"/>
          <w:lang w:val="en-US"/>
        </w:rPr>
        <w:t>Different Input Variables</w:t>
      </w:r>
    </w:p>
    <w:p w:rsidR="00863C11" w:rsidRPr="00723AE8" w:rsidRDefault="00863C11" w:rsidP="00863C11">
      <w:pPr>
        <w:spacing w:after="0" w:line="240" w:lineRule="auto"/>
        <w:contextualSpacing/>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DEA analysis is done to assess the marketing bank with the input variables of assets and labo</w:t>
      </w:r>
      <w:r w:rsidR="008F7159">
        <w:rPr>
          <w:rFonts w:ascii="Book Antiqua" w:eastAsia="Calibri" w:hAnsi="Book Antiqua" w:cs="Times New Roman"/>
          <w:sz w:val="20"/>
          <w:szCs w:val="20"/>
          <w:lang w:val="en-US"/>
        </w:rPr>
        <w:t>r costs and the output variables</w:t>
      </w:r>
      <w:r w:rsidRPr="00723AE8">
        <w:rPr>
          <w:rFonts w:ascii="Book Antiqua" w:eastAsia="Calibri" w:hAnsi="Book Antiqua" w:cs="Times New Roman"/>
          <w:sz w:val="20"/>
          <w:szCs w:val="20"/>
          <w:lang w:val="en-US"/>
        </w:rPr>
        <w:t xml:space="preserve"> of market value, return and EPS. The results are presented in table 8 below. Based on the information in table 8, it can be seen that there are 5 banks whose marketing efficiency is consistently good (100%) in 2017 and 2018, namely BCA, BRI, DANAMON, NISP and PANIN. Bank BTN reached 100% in 2017 but dropped in 2018 to 89.50%. In 2017 Bank BNI only reached “fairly good” category, or 94.10% , while other banks are in category “less good”. The average level of marketing efficiency decreased from 2017 to 2018 with “less good” category. The results of this study does not support the research conducted by Sari and Widaninggar (2018) that the banks with large assets are able to use economic of scale. The marketing performance of Bank Mandiri which had the second largest asset after BRI turned out to be under Bank BCA, BTN, Danamon, NISP, and PANIN in 2017 and 2018.</w:t>
      </w:r>
    </w:p>
    <w:p w:rsidR="00F00584" w:rsidRDefault="00F00584" w:rsidP="00863C11">
      <w:pPr>
        <w:spacing w:after="0" w:line="240" w:lineRule="auto"/>
        <w:contextualSpacing/>
        <w:jc w:val="both"/>
        <w:rPr>
          <w:rFonts w:ascii="Book Antiqua" w:eastAsia="Calibri" w:hAnsi="Book Antiqua" w:cs="Times New Roman"/>
          <w:sz w:val="20"/>
          <w:szCs w:val="20"/>
          <w:lang w:val="en-US"/>
        </w:rPr>
        <w:sectPr w:rsidR="00F00584" w:rsidSect="00F00584">
          <w:type w:val="continuous"/>
          <w:pgSz w:w="12240" w:h="15840"/>
          <w:pgMar w:top="1440" w:right="1440" w:bottom="1440" w:left="1440" w:header="720" w:footer="720" w:gutter="0"/>
          <w:cols w:num="2" w:space="720"/>
          <w:docGrid w:linePitch="360"/>
        </w:sectPr>
      </w:pPr>
    </w:p>
    <w:p w:rsidR="00863C11" w:rsidRPr="00723AE8" w:rsidRDefault="00863C11" w:rsidP="00863C11">
      <w:pPr>
        <w:spacing w:after="0" w:line="240" w:lineRule="auto"/>
        <w:contextualSpacing/>
        <w:jc w:val="both"/>
        <w:rPr>
          <w:rFonts w:ascii="Book Antiqua" w:eastAsia="Calibri" w:hAnsi="Book Antiqua" w:cs="Times New Roman"/>
          <w:sz w:val="20"/>
          <w:szCs w:val="20"/>
          <w:lang w:val="en-US"/>
        </w:rPr>
      </w:pPr>
    </w:p>
    <w:p w:rsidR="00863C11" w:rsidRPr="00723AE8" w:rsidRDefault="00863C11" w:rsidP="00863C11">
      <w:pPr>
        <w:spacing w:after="0" w:line="240" w:lineRule="auto"/>
        <w:ind w:left="720"/>
        <w:contextualSpacing/>
        <w:jc w:val="center"/>
        <w:rPr>
          <w:rFonts w:ascii="Book Antiqua" w:eastAsia="Calibri" w:hAnsi="Book Antiqua" w:cs="Times New Roman"/>
          <w:b/>
          <w:sz w:val="20"/>
          <w:szCs w:val="20"/>
          <w:lang w:val="en-US"/>
        </w:rPr>
      </w:pPr>
      <w:r w:rsidRPr="00723AE8">
        <w:rPr>
          <w:rFonts w:ascii="Book Antiqua" w:eastAsia="Calibri" w:hAnsi="Book Antiqua" w:cs="Times New Roman"/>
          <w:b/>
          <w:sz w:val="20"/>
          <w:szCs w:val="20"/>
          <w:lang w:val="en-US"/>
        </w:rPr>
        <w:t>Table 8</w:t>
      </w:r>
    </w:p>
    <w:p w:rsidR="00863C11" w:rsidRPr="00723AE8" w:rsidRDefault="00863C11" w:rsidP="00863C11">
      <w:pPr>
        <w:spacing w:after="0" w:line="240" w:lineRule="auto"/>
        <w:ind w:left="720"/>
        <w:contextualSpacing/>
        <w:jc w:val="center"/>
        <w:rPr>
          <w:rFonts w:ascii="Book Antiqua" w:eastAsia="Calibri" w:hAnsi="Book Antiqua" w:cs="Times New Roman"/>
          <w:b/>
          <w:sz w:val="20"/>
          <w:szCs w:val="20"/>
          <w:lang w:val="en-US"/>
        </w:rPr>
      </w:pPr>
      <w:r w:rsidRPr="00723AE8">
        <w:rPr>
          <w:rFonts w:ascii="Book Antiqua" w:eastAsia="Calibri" w:hAnsi="Book Antiqua" w:cs="Times New Roman"/>
          <w:b/>
          <w:sz w:val="20"/>
          <w:szCs w:val="20"/>
          <w:lang w:val="en-US"/>
        </w:rPr>
        <w:t xml:space="preserve"> </w:t>
      </w:r>
      <w:r w:rsidR="00723AE8" w:rsidRPr="00723AE8">
        <w:rPr>
          <w:rFonts w:ascii="Book Antiqua" w:eastAsia="Calibri" w:hAnsi="Book Antiqua" w:cs="Times New Roman"/>
          <w:b/>
          <w:sz w:val="20"/>
          <w:szCs w:val="20"/>
          <w:lang w:val="en-US"/>
        </w:rPr>
        <w:t xml:space="preserve">The </w:t>
      </w:r>
      <w:r w:rsidRPr="00723AE8">
        <w:rPr>
          <w:rFonts w:ascii="Book Antiqua" w:eastAsia="Calibri" w:hAnsi="Book Antiqua" w:cs="Times New Roman"/>
          <w:b/>
          <w:sz w:val="20"/>
          <w:szCs w:val="20"/>
          <w:lang w:val="en-US"/>
        </w:rPr>
        <w:t>Value of Bank Marketing Efficiency</w:t>
      </w:r>
    </w:p>
    <w:tbl>
      <w:tblPr>
        <w:tblW w:w="5220" w:type="dxa"/>
        <w:jc w:val="center"/>
        <w:tblLook w:val="04A0" w:firstRow="1" w:lastRow="0" w:firstColumn="1" w:lastColumn="0" w:noHBand="0" w:noVBand="1"/>
      </w:tblPr>
      <w:tblGrid>
        <w:gridCol w:w="1540"/>
        <w:gridCol w:w="1180"/>
        <w:gridCol w:w="1380"/>
        <w:gridCol w:w="1120"/>
      </w:tblGrid>
      <w:tr w:rsidR="00863C11" w:rsidRPr="00723AE8" w:rsidTr="002221B1">
        <w:trPr>
          <w:trHeight w:val="315"/>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Bank</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2018</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Bank</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2017</w:t>
            </w:r>
          </w:p>
        </w:tc>
      </w:tr>
      <w:tr w:rsidR="00863C11" w:rsidRPr="00723AE8" w:rsidTr="002221B1">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BCA</w:t>
            </w:r>
          </w:p>
        </w:tc>
        <w:tc>
          <w:tcPr>
            <w:tcW w:w="11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c>
          <w:tcPr>
            <w:tcW w:w="13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BCA</w:t>
            </w:r>
          </w:p>
        </w:tc>
        <w:tc>
          <w:tcPr>
            <w:tcW w:w="11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r>
      <w:tr w:rsidR="00863C11" w:rsidRPr="00723AE8" w:rsidTr="002221B1">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BRI</w:t>
            </w:r>
          </w:p>
        </w:tc>
        <w:tc>
          <w:tcPr>
            <w:tcW w:w="11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c>
          <w:tcPr>
            <w:tcW w:w="13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BRI</w:t>
            </w:r>
          </w:p>
        </w:tc>
        <w:tc>
          <w:tcPr>
            <w:tcW w:w="11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r>
      <w:tr w:rsidR="00863C11" w:rsidRPr="00723AE8" w:rsidTr="002221B1">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DANAMON</w:t>
            </w:r>
          </w:p>
        </w:tc>
        <w:tc>
          <w:tcPr>
            <w:tcW w:w="11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c>
          <w:tcPr>
            <w:tcW w:w="13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DANAMON</w:t>
            </w:r>
          </w:p>
        </w:tc>
        <w:tc>
          <w:tcPr>
            <w:tcW w:w="11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r>
      <w:tr w:rsidR="00863C11" w:rsidRPr="00723AE8" w:rsidTr="002221B1">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NISP</w:t>
            </w:r>
          </w:p>
        </w:tc>
        <w:tc>
          <w:tcPr>
            <w:tcW w:w="11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c>
          <w:tcPr>
            <w:tcW w:w="13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NISP</w:t>
            </w:r>
          </w:p>
        </w:tc>
        <w:tc>
          <w:tcPr>
            <w:tcW w:w="11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r>
      <w:tr w:rsidR="00863C11" w:rsidRPr="00723AE8" w:rsidTr="002221B1">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PANIN</w:t>
            </w:r>
          </w:p>
        </w:tc>
        <w:tc>
          <w:tcPr>
            <w:tcW w:w="11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c>
          <w:tcPr>
            <w:tcW w:w="13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PANIN</w:t>
            </w:r>
          </w:p>
        </w:tc>
        <w:tc>
          <w:tcPr>
            <w:tcW w:w="11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r>
      <w:tr w:rsidR="00863C11" w:rsidRPr="00723AE8" w:rsidTr="002221B1">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BTN</w:t>
            </w:r>
          </w:p>
        </w:tc>
        <w:tc>
          <w:tcPr>
            <w:tcW w:w="11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89.50%</w:t>
            </w:r>
          </w:p>
        </w:tc>
        <w:tc>
          <w:tcPr>
            <w:tcW w:w="13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BTN</w:t>
            </w:r>
          </w:p>
        </w:tc>
        <w:tc>
          <w:tcPr>
            <w:tcW w:w="11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100.00%</w:t>
            </w:r>
          </w:p>
        </w:tc>
      </w:tr>
      <w:tr w:rsidR="00863C11" w:rsidRPr="00723AE8" w:rsidTr="002221B1">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MANDIRI</w:t>
            </w:r>
          </w:p>
        </w:tc>
        <w:tc>
          <w:tcPr>
            <w:tcW w:w="11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50.00%</w:t>
            </w:r>
          </w:p>
        </w:tc>
        <w:tc>
          <w:tcPr>
            <w:tcW w:w="13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BNI</w:t>
            </w:r>
          </w:p>
        </w:tc>
        <w:tc>
          <w:tcPr>
            <w:tcW w:w="11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94.10%</w:t>
            </w:r>
          </w:p>
        </w:tc>
      </w:tr>
      <w:tr w:rsidR="00863C11" w:rsidRPr="00723AE8" w:rsidTr="002221B1">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BNI</w:t>
            </w:r>
          </w:p>
        </w:tc>
        <w:tc>
          <w:tcPr>
            <w:tcW w:w="11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49.40%</w:t>
            </w:r>
          </w:p>
        </w:tc>
        <w:tc>
          <w:tcPr>
            <w:tcW w:w="13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MAYBANK</w:t>
            </w:r>
          </w:p>
        </w:tc>
        <w:tc>
          <w:tcPr>
            <w:tcW w:w="11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83.60%</w:t>
            </w:r>
          </w:p>
        </w:tc>
      </w:tr>
      <w:tr w:rsidR="00863C11" w:rsidRPr="00723AE8" w:rsidTr="002221B1">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MAYBANK</w:t>
            </w:r>
          </w:p>
        </w:tc>
        <w:tc>
          <w:tcPr>
            <w:tcW w:w="11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36.40%</w:t>
            </w:r>
          </w:p>
        </w:tc>
        <w:tc>
          <w:tcPr>
            <w:tcW w:w="13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NIAGA</w:t>
            </w:r>
          </w:p>
        </w:tc>
        <w:tc>
          <w:tcPr>
            <w:tcW w:w="11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71.10%</w:t>
            </w:r>
          </w:p>
        </w:tc>
      </w:tr>
      <w:tr w:rsidR="00863C11" w:rsidRPr="00723AE8" w:rsidTr="002221B1">
        <w:trPr>
          <w:trHeight w:val="315"/>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NIAGA</w:t>
            </w:r>
          </w:p>
        </w:tc>
        <w:tc>
          <w:tcPr>
            <w:tcW w:w="11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19.10%</w:t>
            </w:r>
          </w:p>
        </w:tc>
        <w:tc>
          <w:tcPr>
            <w:tcW w:w="13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MANDIRI</w:t>
            </w:r>
          </w:p>
        </w:tc>
        <w:tc>
          <w:tcPr>
            <w:tcW w:w="11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36.90%</w:t>
            </w:r>
          </w:p>
        </w:tc>
      </w:tr>
      <w:tr w:rsidR="00863C11" w:rsidRPr="00723AE8" w:rsidTr="002221B1">
        <w:trPr>
          <w:trHeight w:val="315"/>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Rata-rata</w:t>
            </w:r>
          </w:p>
        </w:tc>
        <w:tc>
          <w:tcPr>
            <w:tcW w:w="11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74.44%</w:t>
            </w:r>
          </w:p>
        </w:tc>
        <w:tc>
          <w:tcPr>
            <w:tcW w:w="138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Rata-rata</w:t>
            </w:r>
          </w:p>
        </w:tc>
        <w:tc>
          <w:tcPr>
            <w:tcW w:w="11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88.57%</w:t>
            </w:r>
          </w:p>
        </w:tc>
      </w:tr>
    </w:tbl>
    <w:p w:rsidR="00863C11" w:rsidRPr="00723AE8" w:rsidRDefault="00863C11" w:rsidP="00863C11">
      <w:pPr>
        <w:spacing w:after="0" w:line="240" w:lineRule="auto"/>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 xml:space="preserve">                                  </w:t>
      </w:r>
    </w:p>
    <w:p w:rsidR="00F00584" w:rsidRDefault="00F00584" w:rsidP="00723AE8">
      <w:pPr>
        <w:spacing w:after="0" w:line="240" w:lineRule="auto"/>
        <w:ind w:firstLine="426"/>
        <w:jc w:val="both"/>
        <w:rPr>
          <w:rFonts w:ascii="Book Antiqua" w:eastAsia="Calibri" w:hAnsi="Book Antiqua" w:cs="Times New Roman"/>
          <w:sz w:val="20"/>
          <w:szCs w:val="20"/>
          <w:lang w:val="en-US"/>
        </w:rPr>
        <w:sectPr w:rsidR="00F00584" w:rsidSect="007531D4">
          <w:type w:val="continuous"/>
          <w:pgSz w:w="12240" w:h="15840"/>
          <w:pgMar w:top="1440" w:right="1440" w:bottom="1440" w:left="1440" w:header="720" w:footer="720" w:gutter="0"/>
          <w:cols w:space="720"/>
          <w:docGrid w:linePitch="360"/>
        </w:sectPr>
      </w:pPr>
    </w:p>
    <w:p w:rsidR="00863C11" w:rsidRPr="00723AE8" w:rsidRDefault="00863C11" w:rsidP="00723AE8">
      <w:pPr>
        <w:spacing w:after="0" w:line="240" w:lineRule="auto"/>
        <w:ind w:firstLine="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Banks that do not achieve maximum marketing efficiency value can make improvements as in Tables 9 and 10 below. The amount of improvement that must be done is in accordance with the value of efficiency obtained in table 8 above. The lower the value, the greater the effort that must be done.</w:t>
      </w:r>
    </w:p>
    <w:p w:rsidR="00F00584" w:rsidRDefault="00F00584" w:rsidP="00863C11">
      <w:pPr>
        <w:spacing w:after="0" w:line="240" w:lineRule="auto"/>
        <w:jc w:val="both"/>
        <w:rPr>
          <w:rFonts w:ascii="Book Antiqua" w:eastAsia="Calibri" w:hAnsi="Book Antiqua" w:cs="Times New Roman"/>
          <w:sz w:val="20"/>
          <w:szCs w:val="20"/>
          <w:lang w:val="en-US"/>
        </w:rPr>
        <w:sectPr w:rsidR="00F00584" w:rsidSect="00F00584">
          <w:type w:val="continuous"/>
          <w:pgSz w:w="12240" w:h="15840"/>
          <w:pgMar w:top="1440" w:right="1440" w:bottom="1440" w:left="1440" w:header="720" w:footer="720" w:gutter="0"/>
          <w:cols w:num="2" w:space="720"/>
          <w:docGrid w:linePitch="360"/>
        </w:sectPr>
      </w:pPr>
    </w:p>
    <w:p w:rsidR="00863C11" w:rsidRPr="00723AE8" w:rsidRDefault="00863C11" w:rsidP="00863C11">
      <w:pPr>
        <w:spacing w:after="0" w:line="240" w:lineRule="auto"/>
        <w:jc w:val="both"/>
        <w:rPr>
          <w:rFonts w:ascii="Book Antiqua" w:eastAsia="Calibri" w:hAnsi="Book Antiqua" w:cs="Times New Roman"/>
          <w:sz w:val="20"/>
          <w:szCs w:val="20"/>
          <w:lang w:val="en-US"/>
        </w:rPr>
      </w:pPr>
    </w:p>
    <w:p w:rsidR="00863C11" w:rsidRPr="00723AE8" w:rsidRDefault="00863C11" w:rsidP="00863C11">
      <w:pPr>
        <w:spacing w:after="0" w:line="240" w:lineRule="auto"/>
        <w:jc w:val="center"/>
        <w:rPr>
          <w:rFonts w:ascii="Book Antiqua" w:eastAsia="Calibri" w:hAnsi="Book Antiqua" w:cs="Times New Roman"/>
          <w:b/>
          <w:sz w:val="20"/>
          <w:szCs w:val="20"/>
          <w:lang w:val="en-US"/>
        </w:rPr>
      </w:pPr>
      <w:r w:rsidRPr="00723AE8">
        <w:rPr>
          <w:rFonts w:ascii="Book Antiqua" w:eastAsia="Calibri" w:hAnsi="Book Antiqua" w:cs="Times New Roman"/>
          <w:b/>
          <w:sz w:val="20"/>
          <w:szCs w:val="20"/>
          <w:lang w:val="en-US"/>
        </w:rPr>
        <w:t xml:space="preserve">Table 9 </w:t>
      </w:r>
    </w:p>
    <w:p w:rsidR="00863C11" w:rsidRPr="00723AE8" w:rsidRDefault="00863C11" w:rsidP="00863C11">
      <w:pPr>
        <w:spacing w:after="0" w:line="240" w:lineRule="auto"/>
        <w:jc w:val="center"/>
        <w:rPr>
          <w:rFonts w:ascii="Book Antiqua" w:eastAsia="Calibri" w:hAnsi="Book Antiqua" w:cs="Times New Roman"/>
          <w:b/>
          <w:sz w:val="20"/>
          <w:szCs w:val="20"/>
          <w:lang w:val="en-US"/>
        </w:rPr>
      </w:pPr>
      <w:r w:rsidRPr="00723AE8">
        <w:rPr>
          <w:rFonts w:ascii="Book Antiqua" w:eastAsia="Calibri" w:hAnsi="Book Antiqua" w:cs="Times New Roman"/>
          <w:b/>
          <w:sz w:val="20"/>
          <w:szCs w:val="20"/>
          <w:lang w:val="en-US"/>
        </w:rPr>
        <w:t>Potential Improvements in 2018</w:t>
      </w:r>
    </w:p>
    <w:tbl>
      <w:tblPr>
        <w:tblW w:w="7395" w:type="dxa"/>
        <w:jc w:val="center"/>
        <w:tblLook w:val="04A0" w:firstRow="1" w:lastRow="0" w:firstColumn="1" w:lastColumn="0" w:noHBand="0" w:noVBand="1"/>
      </w:tblPr>
      <w:tblGrid>
        <w:gridCol w:w="1995"/>
        <w:gridCol w:w="934"/>
        <w:gridCol w:w="1076"/>
        <w:gridCol w:w="1120"/>
        <w:gridCol w:w="1203"/>
        <w:gridCol w:w="1316"/>
      </w:tblGrid>
      <w:tr w:rsidR="00863C11" w:rsidRPr="00723AE8" w:rsidTr="002221B1">
        <w:trPr>
          <w:trHeight w:val="315"/>
          <w:jc w:val="center"/>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 xml:space="preserve">Input / output </w:t>
            </w:r>
          </w:p>
        </w:tc>
        <w:tc>
          <w:tcPr>
            <w:tcW w:w="685"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BNI</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BTN</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Mandiri</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Maybank</w:t>
            </w:r>
          </w:p>
        </w:tc>
        <w:tc>
          <w:tcPr>
            <w:tcW w:w="1316"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Niaga</w:t>
            </w:r>
          </w:p>
        </w:tc>
      </w:tr>
      <w:tr w:rsidR="00863C11" w:rsidRPr="00723AE8" w:rsidTr="002221B1">
        <w:trPr>
          <w:trHeight w:val="300"/>
          <w:jc w:val="center"/>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Market Value</w:t>
            </w:r>
          </w:p>
        </w:tc>
        <w:tc>
          <w:tcPr>
            <w:tcW w:w="685"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102.38%</w:t>
            </w:r>
          </w:p>
        </w:tc>
        <w:tc>
          <w:tcPr>
            <w:tcW w:w="1076"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11.76%</w:t>
            </w:r>
          </w:p>
        </w:tc>
        <w:tc>
          <w:tcPr>
            <w:tcW w:w="11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252.27%</w:t>
            </w:r>
          </w:p>
        </w:tc>
        <w:tc>
          <w:tcPr>
            <w:tcW w:w="1203"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687.96%</w:t>
            </w:r>
          </w:p>
        </w:tc>
        <w:tc>
          <w:tcPr>
            <w:tcW w:w="1316"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423.62%</w:t>
            </w:r>
          </w:p>
        </w:tc>
      </w:tr>
      <w:tr w:rsidR="00863C11" w:rsidRPr="00723AE8" w:rsidTr="002221B1">
        <w:trPr>
          <w:trHeight w:val="300"/>
          <w:jc w:val="center"/>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i/>
                <w:iCs/>
                <w:color w:val="000000"/>
                <w:sz w:val="20"/>
                <w:szCs w:val="20"/>
                <w:lang w:val="en-US"/>
              </w:rPr>
            </w:pPr>
            <w:r w:rsidRPr="00723AE8">
              <w:rPr>
                <w:rFonts w:ascii="Book Antiqua" w:eastAsia="Times New Roman" w:hAnsi="Book Antiqua" w:cs="Times New Roman"/>
                <w:i/>
                <w:iCs/>
                <w:color w:val="000000"/>
                <w:sz w:val="20"/>
                <w:szCs w:val="20"/>
                <w:lang w:val="en-US"/>
              </w:rPr>
              <w:t>Return</w:t>
            </w:r>
          </w:p>
        </w:tc>
        <w:tc>
          <w:tcPr>
            <w:tcW w:w="685"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102.38%</w:t>
            </w:r>
          </w:p>
        </w:tc>
        <w:tc>
          <w:tcPr>
            <w:tcW w:w="1076"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942.58%</w:t>
            </w:r>
          </w:p>
        </w:tc>
        <w:tc>
          <w:tcPr>
            <w:tcW w:w="11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99.90%</w:t>
            </w:r>
          </w:p>
        </w:tc>
        <w:tc>
          <w:tcPr>
            <w:tcW w:w="1203"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174.58%</w:t>
            </w:r>
          </w:p>
        </w:tc>
        <w:tc>
          <w:tcPr>
            <w:tcW w:w="1316"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35028.68%</w:t>
            </w:r>
          </w:p>
        </w:tc>
      </w:tr>
      <w:tr w:rsidR="00863C11" w:rsidRPr="00723AE8" w:rsidTr="002221B1">
        <w:trPr>
          <w:trHeight w:val="315"/>
          <w:jc w:val="center"/>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EPS</w:t>
            </w:r>
          </w:p>
        </w:tc>
        <w:tc>
          <w:tcPr>
            <w:tcW w:w="685"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102.38%</w:t>
            </w:r>
          </w:p>
        </w:tc>
        <w:tc>
          <w:tcPr>
            <w:tcW w:w="1076"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11.76%</w:t>
            </w:r>
          </w:p>
        </w:tc>
        <w:tc>
          <w:tcPr>
            <w:tcW w:w="112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99.90%</w:t>
            </w:r>
          </w:p>
        </w:tc>
        <w:tc>
          <w:tcPr>
            <w:tcW w:w="1203"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395.33%</w:t>
            </w:r>
          </w:p>
        </w:tc>
        <w:tc>
          <w:tcPr>
            <w:tcW w:w="1316"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423.62%</w:t>
            </w:r>
          </w:p>
        </w:tc>
      </w:tr>
    </w:tbl>
    <w:p w:rsidR="00863C11" w:rsidRPr="00723AE8" w:rsidRDefault="00863C11" w:rsidP="00863C11">
      <w:pPr>
        <w:spacing w:after="0" w:line="240" w:lineRule="auto"/>
        <w:jc w:val="center"/>
        <w:rPr>
          <w:rFonts w:ascii="Book Antiqua" w:eastAsia="Calibri" w:hAnsi="Book Antiqua" w:cs="Times New Roman"/>
          <w:sz w:val="20"/>
          <w:szCs w:val="20"/>
          <w:lang w:val="en-US"/>
        </w:rPr>
      </w:pPr>
    </w:p>
    <w:p w:rsidR="00863C11" w:rsidRPr="00723AE8" w:rsidRDefault="00863C11" w:rsidP="00863C11">
      <w:pPr>
        <w:spacing w:after="0" w:line="240" w:lineRule="auto"/>
        <w:jc w:val="center"/>
        <w:rPr>
          <w:rFonts w:ascii="Book Antiqua" w:eastAsia="Calibri" w:hAnsi="Book Antiqua" w:cs="Times New Roman"/>
          <w:b/>
          <w:sz w:val="20"/>
          <w:szCs w:val="20"/>
          <w:lang w:val="en-US"/>
        </w:rPr>
      </w:pPr>
      <w:r w:rsidRPr="00723AE8">
        <w:rPr>
          <w:rFonts w:ascii="Book Antiqua" w:eastAsia="Calibri" w:hAnsi="Book Antiqua" w:cs="Times New Roman"/>
          <w:b/>
          <w:sz w:val="20"/>
          <w:szCs w:val="20"/>
          <w:lang w:val="en-US"/>
        </w:rPr>
        <w:t xml:space="preserve">Table 10 </w:t>
      </w:r>
    </w:p>
    <w:p w:rsidR="00863C11" w:rsidRPr="00723AE8" w:rsidRDefault="00863C11" w:rsidP="00863C11">
      <w:pPr>
        <w:spacing w:after="0" w:line="240" w:lineRule="auto"/>
        <w:jc w:val="center"/>
        <w:rPr>
          <w:rFonts w:ascii="Book Antiqua" w:eastAsia="Calibri" w:hAnsi="Book Antiqua" w:cs="Times New Roman"/>
          <w:b/>
          <w:sz w:val="20"/>
          <w:szCs w:val="20"/>
          <w:lang w:val="en-US"/>
        </w:rPr>
      </w:pPr>
      <w:r w:rsidRPr="00723AE8">
        <w:rPr>
          <w:rFonts w:ascii="Book Antiqua" w:eastAsia="Calibri" w:hAnsi="Book Antiqua" w:cs="Times New Roman"/>
          <w:b/>
          <w:sz w:val="20"/>
          <w:szCs w:val="20"/>
          <w:lang w:val="en-US"/>
        </w:rPr>
        <w:t>Potential Improvement in 2017</w:t>
      </w:r>
    </w:p>
    <w:tbl>
      <w:tblPr>
        <w:tblW w:w="5560" w:type="dxa"/>
        <w:jc w:val="center"/>
        <w:tblLook w:val="04A0" w:firstRow="1" w:lastRow="0" w:firstColumn="1" w:lastColumn="0" w:noHBand="0" w:noVBand="1"/>
      </w:tblPr>
      <w:tblGrid>
        <w:gridCol w:w="1720"/>
        <w:gridCol w:w="960"/>
        <w:gridCol w:w="972"/>
        <w:gridCol w:w="1094"/>
        <w:gridCol w:w="960"/>
      </w:tblGrid>
      <w:tr w:rsidR="00863C11" w:rsidRPr="00723AE8" w:rsidTr="002221B1">
        <w:trPr>
          <w:trHeight w:val="300"/>
          <w:jc w:val="center"/>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 xml:space="preserve">Input / output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BNI</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Mandiri</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Maybank</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b/>
                <w:bCs/>
                <w:color w:val="000000"/>
                <w:sz w:val="20"/>
                <w:szCs w:val="20"/>
                <w:lang w:val="en-US"/>
              </w:rPr>
            </w:pPr>
            <w:r w:rsidRPr="00723AE8">
              <w:rPr>
                <w:rFonts w:ascii="Book Antiqua" w:eastAsia="Times New Roman" w:hAnsi="Book Antiqua" w:cs="Times New Roman"/>
                <w:b/>
                <w:bCs/>
                <w:color w:val="000000"/>
                <w:sz w:val="20"/>
                <w:szCs w:val="20"/>
                <w:lang w:val="en-US"/>
              </w:rPr>
              <w:t>Niaga</w:t>
            </w:r>
          </w:p>
        </w:tc>
      </w:tr>
      <w:tr w:rsidR="00863C11" w:rsidRPr="00723AE8" w:rsidTr="002221B1">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Market Value</w:t>
            </w:r>
          </w:p>
        </w:tc>
        <w:tc>
          <w:tcPr>
            <w:tcW w:w="9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6.23%</w:t>
            </w:r>
          </w:p>
        </w:tc>
        <w:tc>
          <w:tcPr>
            <w:tcW w:w="9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171.20%</w:t>
            </w:r>
          </w:p>
        </w:tc>
        <w:tc>
          <w:tcPr>
            <w:tcW w:w="9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615.90%</w:t>
            </w:r>
          </w:p>
        </w:tc>
        <w:tc>
          <w:tcPr>
            <w:tcW w:w="9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181.18%</w:t>
            </w:r>
          </w:p>
        </w:tc>
      </w:tr>
      <w:tr w:rsidR="00863C11" w:rsidRPr="00723AE8" w:rsidTr="002221B1">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i/>
                <w:iCs/>
                <w:color w:val="000000"/>
                <w:sz w:val="20"/>
                <w:szCs w:val="20"/>
                <w:lang w:val="en-US"/>
              </w:rPr>
            </w:pPr>
            <w:r w:rsidRPr="00723AE8">
              <w:rPr>
                <w:rFonts w:ascii="Book Antiqua" w:eastAsia="Times New Roman" w:hAnsi="Book Antiqua" w:cs="Times New Roman"/>
                <w:i/>
                <w:iCs/>
                <w:color w:val="000000"/>
                <w:sz w:val="20"/>
                <w:szCs w:val="20"/>
                <w:lang w:val="en-US"/>
              </w:rPr>
              <w:t>Return</w:t>
            </w:r>
          </w:p>
        </w:tc>
        <w:tc>
          <w:tcPr>
            <w:tcW w:w="9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6.23%</w:t>
            </w:r>
          </w:p>
        </w:tc>
        <w:tc>
          <w:tcPr>
            <w:tcW w:w="9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369.51%</w:t>
            </w:r>
          </w:p>
        </w:tc>
        <w:tc>
          <w:tcPr>
            <w:tcW w:w="9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19.68%</w:t>
            </w:r>
          </w:p>
        </w:tc>
        <w:tc>
          <w:tcPr>
            <w:tcW w:w="960" w:type="dxa"/>
            <w:tcBorders>
              <w:top w:val="nil"/>
              <w:left w:val="nil"/>
              <w:bottom w:val="single" w:sz="4" w:space="0" w:color="auto"/>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40.60%</w:t>
            </w:r>
          </w:p>
        </w:tc>
      </w:tr>
      <w:tr w:rsidR="00863C11" w:rsidRPr="00723AE8" w:rsidTr="002221B1">
        <w:trPr>
          <w:trHeight w:val="300"/>
          <w:jc w:val="center"/>
        </w:trPr>
        <w:tc>
          <w:tcPr>
            <w:tcW w:w="1720" w:type="dxa"/>
            <w:tcBorders>
              <w:top w:val="nil"/>
              <w:left w:val="single" w:sz="4" w:space="0" w:color="auto"/>
              <w:bottom w:val="nil"/>
              <w:right w:val="single" w:sz="4" w:space="0" w:color="auto"/>
            </w:tcBorders>
            <w:shd w:val="clear" w:color="auto" w:fill="auto"/>
            <w:noWrap/>
            <w:vAlign w:val="bottom"/>
            <w:hideMark/>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EPS</w:t>
            </w:r>
          </w:p>
        </w:tc>
        <w:tc>
          <w:tcPr>
            <w:tcW w:w="960" w:type="dxa"/>
            <w:tcBorders>
              <w:top w:val="nil"/>
              <w:left w:val="nil"/>
              <w:bottom w:val="nil"/>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6.23%</w:t>
            </w:r>
          </w:p>
        </w:tc>
        <w:tc>
          <w:tcPr>
            <w:tcW w:w="960" w:type="dxa"/>
            <w:tcBorders>
              <w:top w:val="nil"/>
              <w:left w:val="nil"/>
              <w:bottom w:val="nil"/>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171.20%</w:t>
            </w:r>
          </w:p>
        </w:tc>
        <w:tc>
          <w:tcPr>
            <w:tcW w:w="960" w:type="dxa"/>
            <w:tcBorders>
              <w:top w:val="nil"/>
              <w:left w:val="nil"/>
              <w:bottom w:val="nil"/>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458.16%</w:t>
            </w:r>
          </w:p>
        </w:tc>
        <w:tc>
          <w:tcPr>
            <w:tcW w:w="960" w:type="dxa"/>
            <w:tcBorders>
              <w:top w:val="nil"/>
              <w:left w:val="nil"/>
              <w:bottom w:val="nil"/>
              <w:right w:val="single" w:sz="4" w:space="0" w:color="auto"/>
            </w:tcBorders>
            <w:shd w:val="clear" w:color="auto" w:fill="auto"/>
            <w:noWrap/>
            <w:vAlign w:val="bottom"/>
            <w:hideMark/>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r w:rsidRPr="00723AE8">
              <w:rPr>
                <w:rFonts w:ascii="Book Antiqua" w:eastAsia="Times New Roman" w:hAnsi="Book Antiqua" w:cs="Times New Roman"/>
                <w:color w:val="000000"/>
                <w:sz w:val="20"/>
                <w:szCs w:val="20"/>
                <w:lang w:val="en-US"/>
              </w:rPr>
              <w:t>146.88%</w:t>
            </w:r>
          </w:p>
        </w:tc>
      </w:tr>
      <w:tr w:rsidR="00863C11" w:rsidRPr="00723AE8" w:rsidTr="002221B1">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tcPr>
          <w:p w:rsidR="00863C11" w:rsidRPr="00723AE8" w:rsidRDefault="00863C11" w:rsidP="00863C11">
            <w:pPr>
              <w:spacing w:after="0" w:line="240" w:lineRule="auto"/>
              <w:rPr>
                <w:rFonts w:ascii="Book Antiqua" w:eastAsia="Times New Roman" w:hAnsi="Book Antiqua" w:cs="Times New Roman"/>
                <w:color w:val="000000"/>
                <w:sz w:val="20"/>
                <w:szCs w:val="20"/>
                <w:lang w:val="en-US"/>
              </w:rPr>
            </w:pPr>
          </w:p>
        </w:tc>
        <w:tc>
          <w:tcPr>
            <w:tcW w:w="960" w:type="dxa"/>
            <w:tcBorders>
              <w:top w:val="nil"/>
              <w:left w:val="nil"/>
              <w:bottom w:val="single" w:sz="4" w:space="0" w:color="auto"/>
              <w:right w:val="single" w:sz="4" w:space="0" w:color="auto"/>
            </w:tcBorders>
            <w:shd w:val="clear" w:color="auto" w:fill="auto"/>
            <w:noWrap/>
            <w:vAlign w:val="bottom"/>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p>
        </w:tc>
        <w:tc>
          <w:tcPr>
            <w:tcW w:w="960" w:type="dxa"/>
            <w:tcBorders>
              <w:top w:val="nil"/>
              <w:left w:val="nil"/>
              <w:bottom w:val="single" w:sz="4" w:space="0" w:color="auto"/>
              <w:right w:val="single" w:sz="4" w:space="0" w:color="auto"/>
            </w:tcBorders>
            <w:shd w:val="clear" w:color="auto" w:fill="auto"/>
            <w:noWrap/>
            <w:vAlign w:val="bottom"/>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p>
        </w:tc>
        <w:tc>
          <w:tcPr>
            <w:tcW w:w="960" w:type="dxa"/>
            <w:tcBorders>
              <w:top w:val="nil"/>
              <w:left w:val="nil"/>
              <w:bottom w:val="single" w:sz="4" w:space="0" w:color="auto"/>
              <w:right w:val="single" w:sz="4" w:space="0" w:color="auto"/>
            </w:tcBorders>
            <w:shd w:val="clear" w:color="auto" w:fill="auto"/>
            <w:noWrap/>
            <w:vAlign w:val="bottom"/>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p>
        </w:tc>
        <w:tc>
          <w:tcPr>
            <w:tcW w:w="960" w:type="dxa"/>
            <w:tcBorders>
              <w:top w:val="nil"/>
              <w:left w:val="nil"/>
              <w:bottom w:val="single" w:sz="4" w:space="0" w:color="auto"/>
              <w:right w:val="single" w:sz="4" w:space="0" w:color="auto"/>
            </w:tcBorders>
            <w:shd w:val="clear" w:color="auto" w:fill="auto"/>
            <w:noWrap/>
            <w:vAlign w:val="bottom"/>
          </w:tcPr>
          <w:p w:rsidR="00863C11" w:rsidRPr="00723AE8" w:rsidRDefault="00863C11" w:rsidP="00863C11">
            <w:pPr>
              <w:spacing w:after="0" w:line="240" w:lineRule="auto"/>
              <w:jc w:val="right"/>
              <w:rPr>
                <w:rFonts w:ascii="Book Antiqua" w:eastAsia="Times New Roman" w:hAnsi="Book Antiqua" w:cs="Times New Roman"/>
                <w:color w:val="000000"/>
                <w:sz w:val="20"/>
                <w:szCs w:val="20"/>
                <w:lang w:val="en-US"/>
              </w:rPr>
            </w:pPr>
          </w:p>
        </w:tc>
      </w:tr>
    </w:tbl>
    <w:p w:rsidR="00723AE8" w:rsidRPr="00723AE8" w:rsidRDefault="00723AE8" w:rsidP="00723AE8">
      <w:pPr>
        <w:spacing w:after="0" w:line="240" w:lineRule="auto"/>
        <w:ind w:left="284"/>
        <w:jc w:val="both"/>
        <w:rPr>
          <w:rFonts w:ascii="Book Antiqua" w:eastAsia="Calibri" w:hAnsi="Book Antiqua" w:cs="Times New Roman"/>
          <w:b/>
          <w:sz w:val="20"/>
          <w:szCs w:val="20"/>
          <w:lang w:val="en-US"/>
        </w:rPr>
      </w:pPr>
    </w:p>
    <w:p w:rsidR="00F00584" w:rsidRDefault="00F00584" w:rsidP="00863C11">
      <w:pPr>
        <w:numPr>
          <w:ilvl w:val="0"/>
          <w:numId w:val="17"/>
        </w:numPr>
        <w:spacing w:after="0" w:line="240" w:lineRule="auto"/>
        <w:ind w:left="284" w:hanging="284"/>
        <w:jc w:val="both"/>
        <w:rPr>
          <w:rFonts w:ascii="Book Antiqua" w:eastAsia="Calibri" w:hAnsi="Book Antiqua" w:cs="Times New Roman"/>
          <w:b/>
          <w:sz w:val="20"/>
          <w:szCs w:val="20"/>
          <w:lang w:val="en-US"/>
        </w:rPr>
        <w:sectPr w:rsidR="00F00584" w:rsidSect="007531D4">
          <w:type w:val="continuous"/>
          <w:pgSz w:w="12240" w:h="15840"/>
          <w:pgMar w:top="1440" w:right="1440" w:bottom="1440" w:left="1440" w:header="720" w:footer="720" w:gutter="0"/>
          <w:cols w:space="720"/>
          <w:docGrid w:linePitch="360"/>
        </w:sectPr>
      </w:pPr>
    </w:p>
    <w:p w:rsidR="00863C11" w:rsidRPr="00723AE8" w:rsidRDefault="00863C11" w:rsidP="00863C11">
      <w:pPr>
        <w:numPr>
          <w:ilvl w:val="0"/>
          <w:numId w:val="17"/>
        </w:numPr>
        <w:spacing w:after="0" w:line="240" w:lineRule="auto"/>
        <w:ind w:left="284" w:hanging="284"/>
        <w:jc w:val="both"/>
        <w:rPr>
          <w:rFonts w:ascii="Book Antiqua" w:eastAsia="Calibri" w:hAnsi="Book Antiqua" w:cs="Times New Roman"/>
          <w:b/>
          <w:sz w:val="20"/>
          <w:szCs w:val="20"/>
          <w:lang w:val="en-US"/>
        </w:rPr>
      </w:pPr>
      <w:r w:rsidRPr="00723AE8">
        <w:rPr>
          <w:rFonts w:ascii="Book Antiqua" w:eastAsia="Calibri" w:hAnsi="Book Antiqua" w:cs="Times New Roman"/>
          <w:b/>
          <w:sz w:val="20"/>
          <w:szCs w:val="20"/>
          <w:lang w:val="en-US"/>
        </w:rPr>
        <w:t>CONCLUSION</w:t>
      </w:r>
    </w:p>
    <w:p w:rsidR="00863C11" w:rsidRPr="00723AE8" w:rsidRDefault="00863C11" w:rsidP="00863C11">
      <w:pPr>
        <w:spacing w:after="0" w:line="240" w:lineRule="auto"/>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In 2017 and 2018 there were 7 banks that consistently obtained good profitability performance, namely BCA, BNI, BRI, DANAMON, MAYBANK and</w:t>
      </w:r>
      <w:r w:rsidR="008F7159">
        <w:rPr>
          <w:rFonts w:ascii="Book Antiqua" w:eastAsia="Calibri" w:hAnsi="Book Antiqua" w:cs="Times New Roman"/>
          <w:sz w:val="20"/>
          <w:szCs w:val="20"/>
          <w:lang w:val="en-US"/>
        </w:rPr>
        <w:t xml:space="preserve"> NISP. Next, the banks that obt</w:t>
      </w:r>
      <w:r w:rsidRPr="00723AE8">
        <w:rPr>
          <w:rFonts w:ascii="Book Antiqua" w:eastAsia="Calibri" w:hAnsi="Book Antiqua" w:cs="Times New Roman"/>
          <w:sz w:val="20"/>
          <w:szCs w:val="20"/>
          <w:lang w:val="en-US"/>
        </w:rPr>
        <w:t>ained fairly</w:t>
      </w:r>
      <w:r w:rsidR="008F7159">
        <w:rPr>
          <w:rFonts w:ascii="Book Antiqua" w:eastAsia="Calibri" w:hAnsi="Book Antiqua" w:cs="Times New Roman"/>
          <w:sz w:val="20"/>
          <w:szCs w:val="20"/>
          <w:lang w:val="en-US"/>
        </w:rPr>
        <w:t xml:space="preserve"> good profitability performance </w:t>
      </w:r>
      <w:r w:rsidRPr="00723AE8">
        <w:rPr>
          <w:rFonts w:ascii="Book Antiqua" w:eastAsia="Calibri" w:hAnsi="Book Antiqua" w:cs="Times New Roman"/>
          <w:sz w:val="20"/>
          <w:szCs w:val="20"/>
          <w:lang w:val="en-US"/>
        </w:rPr>
        <w:t>were Bank Mandiri in 2017 and 2018, while Bank BTN obtained good profitability only in 2017, and Bank Niaga underperformed during the observation period. The average value of the bank's profitability performance decreased from 2017 to 2018 (in accordance with the phenomenon), although it is still in “fairly good” category.</w:t>
      </w:r>
    </w:p>
    <w:p w:rsidR="00723AE8" w:rsidRPr="00723AE8" w:rsidRDefault="00863C11" w:rsidP="00723AE8">
      <w:pPr>
        <w:spacing w:after="0" w:line="240" w:lineRule="auto"/>
        <w:ind w:firstLine="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Based on the efficient use of bank resources in marketing in 2017 and 2018, there were 6 banks that consistently obtained maximum levels of efficiency (“good” category), namely Bank BCA, BRI, BTN, DANAMON, NISP and Bank PANIN. Bank MAYBANK obtained “good” category only in 2017, while in 2018 it obtained “less good” category. Bank BNI got “fairly good” category in 2017. Bank Mandir</w:t>
      </w:r>
      <w:r w:rsidR="00831B29">
        <w:rPr>
          <w:rFonts w:ascii="Book Antiqua" w:eastAsia="Calibri" w:hAnsi="Book Antiqua" w:cs="Times New Roman"/>
          <w:sz w:val="20"/>
          <w:szCs w:val="20"/>
          <w:lang w:val="en-US"/>
        </w:rPr>
        <w:t>i recorded the lowest in 2017. A</w:t>
      </w:r>
      <w:r w:rsidRPr="00723AE8">
        <w:rPr>
          <w:rFonts w:ascii="Book Antiqua" w:eastAsia="Calibri" w:hAnsi="Book Antiqua" w:cs="Times New Roman"/>
          <w:sz w:val="20"/>
          <w:szCs w:val="20"/>
          <w:lang w:val="en-US"/>
        </w:rPr>
        <w:t>nd Bank Niaga recorded the lowest in 2018. The average level of marketing efficiency decreased from 2017 to 2018 with a “less good” category.</w:t>
      </w:r>
    </w:p>
    <w:p w:rsidR="00723AE8" w:rsidRPr="00723AE8" w:rsidRDefault="00863C11" w:rsidP="00723AE8">
      <w:pPr>
        <w:spacing w:after="0" w:line="240" w:lineRule="auto"/>
        <w:ind w:firstLine="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Based on the valuation of performance of bank marketing using the input variables of total assets and labor costs, there were only 5 banks that consistently had good marketing efficiency (100%) in 2017 and 2018, namely BCA, BRI, DANAMON, NISP and PANIN. Bank BTN reached 100% in 2017 but dropped to 89.50% in 2018. In 2017 Bank BNI only reached “fairly good” category, or 94.10%, while other banks were in “less good” category. The average level of marketing efficiency decreased from 2017 to 2018 in the “”less good” category. The efficiency of using banking resources for marketing was lower than profitability. Banks that do not achieve maximum efficiency can make improvements as given in their res</w:t>
      </w:r>
      <w:r w:rsidR="00723AE8" w:rsidRPr="00723AE8">
        <w:rPr>
          <w:rFonts w:ascii="Book Antiqua" w:eastAsia="Calibri" w:hAnsi="Book Antiqua" w:cs="Times New Roman"/>
          <w:sz w:val="20"/>
          <w:szCs w:val="20"/>
          <w:lang w:val="en-US"/>
        </w:rPr>
        <w:t>pective potential improvements.</w:t>
      </w:r>
    </w:p>
    <w:p w:rsidR="00863C11" w:rsidRPr="00723AE8" w:rsidRDefault="00863C11" w:rsidP="00723AE8">
      <w:pPr>
        <w:spacing w:after="0" w:line="240" w:lineRule="auto"/>
        <w:ind w:firstLine="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Based on the conclusion above, the DEA model can be used to assess the efficiency of banking performance in Indonesia because the results show that the profitability and marketing declined from 2017 to 2018 supporting the phenomenon that profitability as measured by ROA and bank marketing as measured by bank stock prices also decreased. The next researchers can use other variables that can be implemented in a two stage DEA model such as: the first stage is marketing and the second stage is profitability or the first stage is technological improvement and HR development and the second stage is profitability. This study only examined the 10 largest banks in Indonesia with only 2 years of observation from 2017 to 2018, so it might not reflect the overall condition of banks in Indonesia operating in various segments and markets.</w:t>
      </w:r>
    </w:p>
    <w:p w:rsidR="00863C11" w:rsidRPr="00723AE8" w:rsidRDefault="00863C11" w:rsidP="00863C11">
      <w:pPr>
        <w:spacing w:after="0" w:line="240" w:lineRule="auto"/>
        <w:jc w:val="both"/>
        <w:rPr>
          <w:rFonts w:ascii="Book Antiqua" w:eastAsia="Calibri" w:hAnsi="Book Antiqua" w:cs="Times New Roman"/>
          <w:b/>
          <w:sz w:val="20"/>
          <w:szCs w:val="20"/>
          <w:lang w:val="en-US"/>
        </w:rPr>
      </w:pPr>
    </w:p>
    <w:p w:rsidR="00863C11" w:rsidRPr="00723AE8" w:rsidRDefault="00863C11" w:rsidP="00863C11">
      <w:pPr>
        <w:spacing w:after="0" w:line="240" w:lineRule="auto"/>
        <w:rPr>
          <w:rFonts w:ascii="Book Antiqua" w:eastAsia="Calibri" w:hAnsi="Book Antiqua" w:cs="Times New Roman"/>
          <w:b/>
          <w:sz w:val="20"/>
          <w:szCs w:val="20"/>
          <w:lang w:val="en-US"/>
        </w:rPr>
      </w:pPr>
      <w:r w:rsidRPr="00723AE8">
        <w:rPr>
          <w:rFonts w:ascii="Book Antiqua" w:eastAsia="Calibri" w:hAnsi="Book Antiqua" w:cs="Times New Roman"/>
          <w:b/>
          <w:sz w:val="20"/>
          <w:szCs w:val="20"/>
          <w:lang w:val="en-US"/>
        </w:rPr>
        <w:t xml:space="preserve">REFERENCES </w:t>
      </w:r>
    </w:p>
    <w:p w:rsidR="00723AE8" w:rsidRPr="00723AE8" w:rsidRDefault="00863C11" w:rsidP="00723AE8">
      <w:pPr>
        <w:widowControl w:val="0"/>
        <w:autoSpaceDE w:val="0"/>
        <w:autoSpaceDN w:val="0"/>
        <w:adjustRightInd w:val="0"/>
        <w:spacing w:after="0" w:line="240" w:lineRule="auto"/>
        <w:ind w:left="426" w:hanging="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Al</w:t>
      </w:r>
      <w:r w:rsidRPr="00723AE8">
        <w:rPr>
          <w:rFonts w:ascii="Cambria Math" w:eastAsia="Calibri" w:hAnsi="Cambria Math" w:cs="Cambria Math"/>
          <w:sz w:val="20"/>
          <w:szCs w:val="20"/>
          <w:lang w:val="en-US"/>
        </w:rPr>
        <w:t>‐</w:t>
      </w:r>
      <w:r w:rsidRPr="00723AE8">
        <w:rPr>
          <w:rFonts w:ascii="Book Antiqua" w:eastAsia="Calibri" w:hAnsi="Book Antiqua" w:cs="Times New Roman"/>
          <w:sz w:val="20"/>
          <w:szCs w:val="20"/>
          <w:lang w:val="en-US"/>
        </w:rPr>
        <w:t>Faraj, T. N., Alidi, A. and Bu</w:t>
      </w:r>
      <w:r w:rsidRPr="00723AE8">
        <w:rPr>
          <w:rFonts w:ascii="Cambria Math" w:eastAsia="Calibri" w:hAnsi="Cambria Math" w:cs="Cambria Math"/>
          <w:sz w:val="20"/>
          <w:szCs w:val="20"/>
          <w:lang w:val="en-US"/>
        </w:rPr>
        <w:t>‐</w:t>
      </w:r>
      <w:r w:rsidRPr="00723AE8">
        <w:rPr>
          <w:rFonts w:ascii="Book Antiqua" w:eastAsia="Calibri" w:hAnsi="Book Antiqua" w:cs="Times New Roman"/>
          <w:sz w:val="20"/>
          <w:szCs w:val="20"/>
          <w:lang w:val="en-US"/>
        </w:rPr>
        <w:t xml:space="preserve">Bshait, K. A. (1993) ‘Evaluation of Bank Branches by Means of Data Envelopment Analysis’, </w:t>
      </w:r>
      <w:r w:rsidRPr="00723AE8">
        <w:rPr>
          <w:rFonts w:ascii="Book Antiqua" w:eastAsia="Calibri" w:hAnsi="Book Antiqua" w:cs="Times New Roman"/>
          <w:i/>
          <w:iCs/>
          <w:sz w:val="20"/>
          <w:szCs w:val="20"/>
          <w:lang w:val="en-US"/>
        </w:rPr>
        <w:t>International Journal of Operations &amp; Production Management</w:t>
      </w:r>
      <w:r w:rsidRPr="00723AE8">
        <w:rPr>
          <w:rFonts w:ascii="Book Antiqua" w:eastAsia="Calibri" w:hAnsi="Book Antiqua" w:cs="Times New Roman"/>
          <w:sz w:val="20"/>
          <w:szCs w:val="20"/>
          <w:lang w:val="en-US"/>
        </w:rPr>
        <w:t>, 13(9), pp. 45–52.</w:t>
      </w:r>
    </w:p>
    <w:p w:rsidR="00723AE8" w:rsidRPr="00723AE8" w:rsidRDefault="00863C11" w:rsidP="00723AE8">
      <w:pPr>
        <w:widowControl w:val="0"/>
        <w:autoSpaceDE w:val="0"/>
        <w:autoSpaceDN w:val="0"/>
        <w:adjustRightInd w:val="0"/>
        <w:spacing w:after="0" w:line="240" w:lineRule="auto"/>
        <w:ind w:left="426" w:hanging="426"/>
        <w:jc w:val="both"/>
        <w:rPr>
          <w:rFonts w:ascii="Book Antiqua" w:eastAsia="Calibri" w:hAnsi="Book Antiqua" w:cs="Times New Roman"/>
          <w:sz w:val="20"/>
          <w:szCs w:val="20"/>
          <w:lang w:val="en-US"/>
        </w:rPr>
      </w:pPr>
      <w:r w:rsidRPr="00723AE8">
        <w:rPr>
          <w:rFonts w:ascii="Book Antiqua" w:eastAsia="Calibri" w:hAnsi="Book Antiqua" w:cs="Times New Roman"/>
          <w:i/>
          <w:sz w:val="20"/>
          <w:szCs w:val="20"/>
          <w:lang w:val="en-US"/>
        </w:rPr>
        <w:t>E-paper kontan.co.id News Data Financial Tool</w:t>
      </w:r>
      <w:r w:rsidRPr="00723AE8">
        <w:rPr>
          <w:rFonts w:ascii="Book Antiqua" w:eastAsia="Calibri" w:hAnsi="Book Antiqua" w:cs="Times New Roman"/>
          <w:sz w:val="20"/>
          <w:szCs w:val="20"/>
          <w:lang w:val="en-US"/>
        </w:rPr>
        <w:t>, Saham perbankan tergerus bersama IHSG, ini rekomendasi selanjutnya, Rabu, 7 Agustus 2019.</w:t>
      </w:r>
    </w:p>
    <w:p w:rsidR="00723AE8" w:rsidRPr="00723AE8" w:rsidRDefault="00863C11" w:rsidP="00723AE8">
      <w:pPr>
        <w:widowControl w:val="0"/>
        <w:autoSpaceDE w:val="0"/>
        <w:autoSpaceDN w:val="0"/>
        <w:adjustRightInd w:val="0"/>
        <w:spacing w:after="0" w:line="240" w:lineRule="auto"/>
        <w:ind w:left="426" w:hanging="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Farandy, A. R., Suwito, D. A. and Dabutar, L. K. (2017) ‘Efficiency Of Islamic Banks In Indonesia</w:t>
      </w:r>
      <w:r w:rsidRPr="00723AE8">
        <w:rPr>
          <w:rFonts w:ascii="Times New Roman" w:eastAsia="Calibri" w:hAnsi="Times New Roman" w:cs="Times New Roman"/>
          <w:sz w:val="20"/>
          <w:szCs w:val="20"/>
          <w:lang w:val="en-US"/>
        </w:rPr>
        <w:t> </w:t>
      </w:r>
      <w:r w:rsidRPr="00723AE8">
        <w:rPr>
          <w:rFonts w:ascii="Book Antiqua" w:eastAsia="Calibri" w:hAnsi="Book Antiqua" w:cs="Book Antiqua"/>
          <w:sz w:val="20"/>
          <w:szCs w:val="20"/>
          <w:lang w:val="en-US"/>
        </w:rPr>
        <w:t>’</w:t>
      </w:r>
      <w:r w:rsidRPr="00723AE8">
        <w:rPr>
          <w:rFonts w:ascii="Book Antiqua" w:eastAsia="Calibri" w:hAnsi="Book Antiqua" w:cs="Times New Roman"/>
          <w:sz w:val="20"/>
          <w:szCs w:val="20"/>
          <w:lang w:val="en-US"/>
        </w:rPr>
        <w:t xml:space="preserve">:, </w:t>
      </w:r>
      <w:r w:rsidRPr="00723AE8">
        <w:rPr>
          <w:rFonts w:ascii="Book Antiqua" w:eastAsia="Calibri" w:hAnsi="Book Antiqua" w:cs="Times New Roman"/>
          <w:i/>
          <w:iCs/>
          <w:sz w:val="20"/>
          <w:szCs w:val="20"/>
          <w:lang w:val="en-US"/>
        </w:rPr>
        <w:t>International Journal of Economics, management and Accounting</w:t>
      </w:r>
      <w:r w:rsidR="00723AE8" w:rsidRPr="00723AE8">
        <w:rPr>
          <w:rFonts w:ascii="Book Antiqua" w:eastAsia="Calibri" w:hAnsi="Book Antiqua" w:cs="Times New Roman"/>
          <w:sz w:val="20"/>
          <w:szCs w:val="20"/>
          <w:lang w:val="en-US"/>
        </w:rPr>
        <w:t>, 2(2), pp. 337–354.</w:t>
      </w:r>
    </w:p>
    <w:p w:rsidR="00723AE8" w:rsidRPr="00723AE8" w:rsidRDefault="00863C11" w:rsidP="00723AE8">
      <w:pPr>
        <w:widowControl w:val="0"/>
        <w:autoSpaceDE w:val="0"/>
        <w:autoSpaceDN w:val="0"/>
        <w:adjustRightInd w:val="0"/>
        <w:spacing w:after="0" w:line="240" w:lineRule="auto"/>
        <w:ind w:left="426" w:hanging="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Grmanová, E. and Ivanová, E. (2018) ‘Efficiency of banks in Slovakia</w:t>
      </w:r>
      <w:r w:rsidRPr="00723AE8">
        <w:rPr>
          <w:rFonts w:ascii="Times New Roman" w:eastAsia="Calibri" w:hAnsi="Times New Roman" w:cs="Times New Roman"/>
          <w:sz w:val="20"/>
          <w:szCs w:val="20"/>
          <w:lang w:val="en-US"/>
        </w:rPr>
        <w:t> </w:t>
      </w:r>
      <w:r w:rsidRPr="00723AE8">
        <w:rPr>
          <w:rFonts w:ascii="Book Antiqua" w:eastAsia="Calibri" w:hAnsi="Book Antiqua" w:cs="Times New Roman"/>
          <w:sz w:val="20"/>
          <w:szCs w:val="20"/>
          <w:lang w:val="en-US"/>
        </w:rPr>
        <w:t>: Measuring by DEA models</w:t>
      </w:r>
      <w:r w:rsidRPr="00723AE8">
        <w:rPr>
          <w:rFonts w:ascii="Book Antiqua" w:eastAsia="Calibri" w:hAnsi="Book Antiqua" w:cs="Book Antiqua"/>
          <w:sz w:val="20"/>
          <w:szCs w:val="20"/>
          <w:lang w:val="en-US"/>
        </w:rPr>
        <w:t>’</w:t>
      </w:r>
      <w:r w:rsidRPr="00723AE8">
        <w:rPr>
          <w:rFonts w:ascii="Book Antiqua" w:eastAsia="Calibri" w:hAnsi="Book Antiqua" w:cs="Times New Roman"/>
          <w:sz w:val="20"/>
          <w:szCs w:val="20"/>
          <w:lang w:val="en-US"/>
        </w:rPr>
        <w:t xml:space="preserve">, </w:t>
      </w:r>
      <w:r w:rsidRPr="00723AE8">
        <w:rPr>
          <w:rFonts w:ascii="Book Antiqua" w:eastAsia="Calibri" w:hAnsi="Book Antiqua" w:cs="Times New Roman"/>
          <w:i/>
          <w:iCs/>
          <w:sz w:val="20"/>
          <w:szCs w:val="20"/>
          <w:lang w:val="en-US"/>
        </w:rPr>
        <w:t>Journal of International Studies</w:t>
      </w:r>
      <w:r w:rsidRPr="00723AE8">
        <w:rPr>
          <w:rFonts w:ascii="Book Antiqua" w:eastAsia="Calibri" w:hAnsi="Book Antiqua" w:cs="Times New Roman"/>
          <w:sz w:val="20"/>
          <w:szCs w:val="20"/>
          <w:lang w:val="en-US"/>
        </w:rPr>
        <w:t>, 11(1), pp. 257–272. doi: 1</w:t>
      </w:r>
      <w:r w:rsidR="00723AE8" w:rsidRPr="00723AE8">
        <w:rPr>
          <w:rFonts w:ascii="Book Antiqua" w:eastAsia="Calibri" w:hAnsi="Book Antiqua" w:cs="Times New Roman"/>
          <w:sz w:val="20"/>
          <w:szCs w:val="20"/>
          <w:lang w:val="en-US"/>
        </w:rPr>
        <w:t>0.14254/2071-8330.2018/11-1/20.</w:t>
      </w:r>
    </w:p>
    <w:p w:rsidR="00723AE8" w:rsidRPr="00723AE8" w:rsidRDefault="00863C11" w:rsidP="00723AE8">
      <w:pPr>
        <w:widowControl w:val="0"/>
        <w:autoSpaceDE w:val="0"/>
        <w:autoSpaceDN w:val="0"/>
        <w:adjustRightInd w:val="0"/>
        <w:spacing w:after="0" w:line="240" w:lineRule="auto"/>
        <w:ind w:left="426" w:hanging="426"/>
        <w:jc w:val="both"/>
        <w:rPr>
          <w:rFonts w:ascii="Book Antiqua" w:eastAsia="Calibri" w:hAnsi="Book Antiqua" w:cs="Times New Roman"/>
          <w:sz w:val="20"/>
          <w:szCs w:val="20"/>
          <w:lang w:val="en-US"/>
        </w:rPr>
      </w:pPr>
      <w:r w:rsidRPr="00723AE8">
        <w:rPr>
          <w:rFonts w:ascii="Book Antiqua" w:eastAsia="Calibri" w:hAnsi="Book Antiqua" w:cs="Garamond"/>
          <w:bCs/>
          <w:color w:val="000000"/>
          <w:sz w:val="20"/>
          <w:szCs w:val="20"/>
          <w:lang w:val="en-US"/>
        </w:rPr>
        <w:t xml:space="preserve">Jyoti Singh, A. K. Vashisht, Meena Sharma (2016) </w:t>
      </w:r>
      <w:r w:rsidRPr="00723AE8">
        <w:rPr>
          <w:rFonts w:ascii="Book Antiqua" w:eastAsia="Calibri" w:hAnsi="Book Antiqua" w:cs="Garamond"/>
          <w:color w:val="000000"/>
          <w:sz w:val="20"/>
          <w:szCs w:val="20"/>
          <w:lang w:val="en-US"/>
        </w:rPr>
        <w:t>‘Efficiency A</w:t>
      </w:r>
      <w:r w:rsidRPr="00723AE8">
        <w:rPr>
          <w:rFonts w:ascii="Book Antiqua" w:eastAsia="Calibri" w:hAnsi="Book Antiqua" w:cs="Garamond"/>
          <w:bCs/>
          <w:color w:val="000000"/>
          <w:sz w:val="20"/>
          <w:szCs w:val="20"/>
          <w:lang w:val="en-US"/>
        </w:rPr>
        <w:t>nalysis of Indian Commercial Banks: A DEA Approach</w:t>
      </w:r>
      <w:r w:rsidRPr="00723AE8">
        <w:rPr>
          <w:rFonts w:ascii="Book Antiqua" w:eastAsia="Calibri" w:hAnsi="Book Antiqua" w:cs="Garamond"/>
          <w:color w:val="000000"/>
          <w:sz w:val="20"/>
          <w:szCs w:val="20"/>
          <w:lang w:val="en-US"/>
        </w:rPr>
        <w:t>’</w:t>
      </w:r>
      <w:r w:rsidRPr="00723AE8">
        <w:rPr>
          <w:rFonts w:ascii="Book Antiqua" w:eastAsia="Calibri" w:hAnsi="Book Antiqua" w:cs="Garamond"/>
          <w:bCs/>
          <w:color w:val="000000"/>
          <w:sz w:val="20"/>
          <w:szCs w:val="20"/>
          <w:lang w:val="en-US"/>
        </w:rPr>
        <w:t xml:space="preserve">, </w:t>
      </w:r>
      <w:r w:rsidRPr="00723AE8">
        <w:rPr>
          <w:rFonts w:ascii="Book Antiqua" w:eastAsia="Calibri" w:hAnsi="Book Antiqua" w:cs="Times New Roman"/>
          <w:i/>
          <w:iCs/>
          <w:sz w:val="20"/>
          <w:szCs w:val="20"/>
          <w:lang w:val="en-US"/>
        </w:rPr>
        <w:t>International Journal of Banking, Risk and Insurance,</w:t>
      </w:r>
      <w:r w:rsidRPr="00723AE8">
        <w:rPr>
          <w:rFonts w:ascii="Book Antiqua" w:eastAsia="Calibri" w:hAnsi="Book Antiqua" w:cs="Times New Roman"/>
          <w:iCs/>
          <w:sz w:val="20"/>
          <w:szCs w:val="20"/>
          <w:lang w:val="en-US"/>
        </w:rPr>
        <w:t xml:space="preserve"> pp 27-38.</w:t>
      </w:r>
      <w:r w:rsidRPr="00723AE8">
        <w:rPr>
          <w:rFonts w:ascii="Book Antiqua" w:eastAsia="Calibri" w:hAnsi="Book Antiqua" w:cs="Times New Roman"/>
          <w:i/>
          <w:iCs/>
          <w:sz w:val="20"/>
          <w:szCs w:val="20"/>
          <w:lang w:val="en-US"/>
        </w:rPr>
        <w:t xml:space="preserve"> </w:t>
      </w:r>
    </w:p>
    <w:p w:rsidR="00723AE8" w:rsidRPr="00723AE8" w:rsidRDefault="00863C11" w:rsidP="00723AE8">
      <w:pPr>
        <w:widowControl w:val="0"/>
        <w:autoSpaceDE w:val="0"/>
        <w:autoSpaceDN w:val="0"/>
        <w:adjustRightInd w:val="0"/>
        <w:spacing w:after="0" w:line="240" w:lineRule="auto"/>
        <w:ind w:left="426" w:hanging="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 xml:space="preserve">K., Avkiran. Necmi. (1999) ‘An application reference for data envelopment analysis in branch banking: helping the novice researcher’, </w:t>
      </w:r>
      <w:r w:rsidRPr="00723AE8">
        <w:rPr>
          <w:rFonts w:ascii="Book Antiqua" w:eastAsia="Calibri" w:hAnsi="Book Antiqua" w:cs="Times New Roman"/>
          <w:i/>
          <w:iCs/>
          <w:sz w:val="20"/>
          <w:szCs w:val="20"/>
          <w:lang w:val="en-US"/>
        </w:rPr>
        <w:t>International Journal of Bank Marketing</w:t>
      </w:r>
      <w:r w:rsidRPr="00723AE8">
        <w:rPr>
          <w:rFonts w:ascii="Book Antiqua" w:eastAsia="Calibri" w:hAnsi="Book Antiqua" w:cs="Times New Roman"/>
          <w:sz w:val="20"/>
          <w:szCs w:val="20"/>
          <w:lang w:val="en-US"/>
        </w:rPr>
        <w:t xml:space="preserve">. MCB UP Ltd, 17(5), pp. 206–220. </w:t>
      </w:r>
      <w:r w:rsidR="00723AE8" w:rsidRPr="00723AE8">
        <w:rPr>
          <w:rFonts w:ascii="Book Antiqua" w:eastAsia="Calibri" w:hAnsi="Book Antiqua" w:cs="Times New Roman"/>
          <w:sz w:val="20"/>
          <w:szCs w:val="20"/>
          <w:lang w:val="en-US"/>
        </w:rPr>
        <w:t>doi: 10.1108/02652329910292675.</w:t>
      </w:r>
    </w:p>
    <w:p w:rsidR="00723AE8" w:rsidRPr="00723AE8" w:rsidRDefault="00863C11" w:rsidP="00723AE8">
      <w:pPr>
        <w:widowControl w:val="0"/>
        <w:autoSpaceDE w:val="0"/>
        <w:autoSpaceDN w:val="0"/>
        <w:adjustRightInd w:val="0"/>
        <w:spacing w:after="0" w:line="240" w:lineRule="auto"/>
        <w:ind w:left="426" w:hanging="426"/>
        <w:jc w:val="both"/>
        <w:rPr>
          <w:rFonts w:ascii="Book Antiqua" w:eastAsia="Calibri" w:hAnsi="Book Antiqua" w:cs="Times New Roman"/>
          <w:sz w:val="20"/>
          <w:szCs w:val="20"/>
          <w:lang w:val="en-US"/>
        </w:rPr>
      </w:pPr>
      <w:r w:rsidRPr="00723AE8">
        <w:rPr>
          <w:rFonts w:ascii="Book Antiqua" w:eastAsia="Calibri" w:hAnsi="Book Antiqua" w:cs="Garamond"/>
          <w:color w:val="000000"/>
          <w:sz w:val="20"/>
          <w:szCs w:val="20"/>
          <w:lang w:val="en-US"/>
        </w:rPr>
        <w:t>Kartika Sari, N. and Widaninggar, N. (2018) ‘Efisiensi Bank dalam Kelompok BUKU 4 di Indonesia</w:t>
      </w:r>
      <w:r w:rsidRPr="00723AE8">
        <w:rPr>
          <w:rFonts w:ascii="Times New Roman" w:eastAsia="Calibri" w:hAnsi="Times New Roman" w:cs="Times New Roman"/>
          <w:color w:val="000000"/>
          <w:sz w:val="20"/>
          <w:szCs w:val="20"/>
          <w:lang w:val="en-US"/>
        </w:rPr>
        <w:t> </w:t>
      </w:r>
      <w:r w:rsidRPr="00723AE8">
        <w:rPr>
          <w:rFonts w:ascii="Book Antiqua" w:eastAsia="Calibri" w:hAnsi="Book Antiqua" w:cs="Garamond"/>
          <w:color w:val="000000"/>
          <w:sz w:val="20"/>
          <w:szCs w:val="20"/>
          <w:lang w:val="en-US"/>
        </w:rPr>
        <w:t>: Pendekatan Data Envelopment Analysis</w:t>
      </w:r>
      <w:r w:rsidRPr="00723AE8">
        <w:rPr>
          <w:rFonts w:ascii="Book Antiqua" w:eastAsia="Calibri" w:hAnsi="Book Antiqua" w:cs="Book Antiqua"/>
          <w:color w:val="000000"/>
          <w:sz w:val="20"/>
          <w:szCs w:val="20"/>
          <w:lang w:val="en-US"/>
        </w:rPr>
        <w:t>’</w:t>
      </w:r>
      <w:r w:rsidRPr="00723AE8">
        <w:rPr>
          <w:rFonts w:ascii="Book Antiqua" w:eastAsia="Calibri" w:hAnsi="Book Antiqua" w:cs="Garamond"/>
          <w:color w:val="000000"/>
          <w:sz w:val="20"/>
          <w:szCs w:val="20"/>
          <w:lang w:val="en-US"/>
        </w:rPr>
        <w:t xml:space="preserve">, </w:t>
      </w:r>
      <w:r w:rsidRPr="00723AE8">
        <w:rPr>
          <w:rFonts w:ascii="Book Antiqua" w:eastAsia="Calibri" w:hAnsi="Book Antiqua" w:cs="Garamond"/>
          <w:i/>
          <w:iCs/>
          <w:color w:val="000000"/>
          <w:sz w:val="20"/>
          <w:szCs w:val="20"/>
          <w:lang w:val="en-US"/>
        </w:rPr>
        <w:t>AFRE Accounting and Financial Review</w:t>
      </w:r>
      <w:r w:rsidRPr="00723AE8">
        <w:rPr>
          <w:rFonts w:ascii="Book Antiqua" w:eastAsia="Calibri" w:hAnsi="Book Antiqua" w:cs="Garamond"/>
          <w:color w:val="000000"/>
          <w:sz w:val="20"/>
          <w:szCs w:val="20"/>
          <w:lang w:val="en-US"/>
        </w:rPr>
        <w:t>, 1(2), pp. 86–92.</w:t>
      </w:r>
    </w:p>
    <w:p w:rsidR="00723AE8" w:rsidRPr="00723AE8" w:rsidRDefault="00863C11" w:rsidP="00723AE8">
      <w:pPr>
        <w:widowControl w:val="0"/>
        <w:autoSpaceDE w:val="0"/>
        <w:autoSpaceDN w:val="0"/>
        <w:adjustRightInd w:val="0"/>
        <w:spacing w:after="0" w:line="240" w:lineRule="auto"/>
        <w:ind w:left="426" w:hanging="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 xml:space="preserve">Lee, Y. J., Joo, S.-J. and Park, H. G. (2017) ‘An application of data envelopment analysis for Korean banks with negative data’, </w:t>
      </w:r>
      <w:r w:rsidRPr="00723AE8">
        <w:rPr>
          <w:rFonts w:ascii="Book Antiqua" w:eastAsia="Calibri" w:hAnsi="Book Antiqua" w:cs="Times New Roman"/>
          <w:i/>
          <w:iCs/>
          <w:sz w:val="20"/>
          <w:szCs w:val="20"/>
          <w:lang w:val="en-US"/>
        </w:rPr>
        <w:t>Benchmarking: An International Journa</w:t>
      </w:r>
      <w:r w:rsidR="00723AE8" w:rsidRPr="00723AE8">
        <w:rPr>
          <w:rFonts w:ascii="Book Antiqua" w:eastAsia="Calibri" w:hAnsi="Book Antiqua" w:cs="Times New Roman"/>
          <w:sz w:val="20"/>
          <w:szCs w:val="20"/>
          <w:lang w:val="en-US"/>
        </w:rPr>
        <w:t>, 24(4), pp. 1052–1064.</w:t>
      </w:r>
    </w:p>
    <w:p w:rsidR="00723AE8" w:rsidRPr="00723AE8" w:rsidRDefault="00863C11" w:rsidP="00723AE8">
      <w:pPr>
        <w:widowControl w:val="0"/>
        <w:autoSpaceDE w:val="0"/>
        <w:autoSpaceDN w:val="0"/>
        <w:adjustRightInd w:val="0"/>
        <w:spacing w:after="0" w:line="240" w:lineRule="auto"/>
        <w:ind w:left="426" w:hanging="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 xml:space="preserve">Miranti, D. A. and Sari, K. (2016) ‘Efisiensi bank umum syariah di indonesia menggunakan pendekatan’, </w:t>
      </w:r>
      <w:r w:rsidRPr="00723AE8">
        <w:rPr>
          <w:rFonts w:ascii="Book Antiqua" w:eastAsia="Calibri" w:hAnsi="Book Antiqua" w:cs="Times New Roman"/>
          <w:i/>
          <w:iCs/>
          <w:sz w:val="20"/>
          <w:szCs w:val="20"/>
          <w:lang w:val="en-US"/>
        </w:rPr>
        <w:t>Jurnal Ekonomi dan Bisnis</w:t>
      </w:r>
      <w:r w:rsidR="00723AE8" w:rsidRPr="00723AE8">
        <w:rPr>
          <w:rFonts w:ascii="Book Antiqua" w:eastAsia="Calibri" w:hAnsi="Book Antiqua" w:cs="Times New Roman"/>
          <w:sz w:val="20"/>
          <w:szCs w:val="20"/>
          <w:lang w:val="en-US"/>
        </w:rPr>
        <w:t>, 21(3), pp. 194–200.</w:t>
      </w:r>
    </w:p>
    <w:p w:rsidR="00723AE8" w:rsidRPr="00723AE8" w:rsidRDefault="00863C11" w:rsidP="00723AE8">
      <w:pPr>
        <w:widowControl w:val="0"/>
        <w:autoSpaceDE w:val="0"/>
        <w:autoSpaceDN w:val="0"/>
        <w:adjustRightInd w:val="0"/>
        <w:spacing w:after="0" w:line="240" w:lineRule="auto"/>
        <w:ind w:left="426" w:hanging="426"/>
        <w:jc w:val="both"/>
        <w:rPr>
          <w:rFonts w:ascii="Book Antiqua" w:eastAsia="Calibri" w:hAnsi="Book Antiqua" w:cs="Times New Roman"/>
          <w:sz w:val="20"/>
          <w:szCs w:val="20"/>
          <w:lang w:val="en-US"/>
        </w:rPr>
      </w:pPr>
      <w:r w:rsidRPr="00723AE8">
        <w:rPr>
          <w:rFonts w:ascii="Book Antiqua" w:eastAsia="Calibri" w:hAnsi="Book Antiqua" w:cs="Times New Roman"/>
          <w:bCs/>
          <w:color w:val="2B2B2B"/>
          <w:sz w:val="20"/>
          <w:szCs w:val="20"/>
          <w:lang w:val="en-US"/>
        </w:rPr>
        <w:t>Muhamad Bari Baihaqi</w:t>
      </w:r>
      <w:r w:rsidRPr="00723AE8">
        <w:rPr>
          <w:rFonts w:ascii="Book Antiqua" w:eastAsia="Calibri" w:hAnsi="Book Antiqua" w:cs="Times New Roman"/>
          <w:color w:val="2B2B2B"/>
          <w:sz w:val="20"/>
          <w:szCs w:val="20"/>
          <w:lang w:val="en-US"/>
        </w:rPr>
        <w:t xml:space="preserve">, </w:t>
      </w:r>
      <w:r w:rsidRPr="00723AE8">
        <w:rPr>
          <w:rFonts w:ascii="Book Antiqua" w:eastAsia="Times New Roman" w:hAnsi="Book Antiqua" w:cs="Times New Roman"/>
          <w:color w:val="2B2B2B"/>
          <w:sz w:val="20"/>
          <w:szCs w:val="20"/>
          <w:lang w:val="en-US"/>
        </w:rPr>
        <w:t>(2017)</w:t>
      </w:r>
      <w:r w:rsidRPr="00723AE8">
        <w:rPr>
          <w:rFonts w:ascii="Book Antiqua" w:eastAsia="Calibri" w:hAnsi="Book Antiqua" w:cs="Times New Roman"/>
          <w:sz w:val="20"/>
          <w:szCs w:val="20"/>
          <w:lang w:val="en-US"/>
        </w:rPr>
        <w:t xml:space="preserve">Tingkat Profitabilitas Perbankan Terus Menurun, </w:t>
      </w:r>
      <w:r w:rsidRPr="00723AE8">
        <w:rPr>
          <w:rFonts w:ascii="Book Antiqua" w:eastAsia="Calibri" w:hAnsi="Book Antiqua" w:cs="Times New Roman"/>
          <w:i/>
          <w:sz w:val="20"/>
          <w:szCs w:val="20"/>
          <w:lang w:val="en-US"/>
        </w:rPr>
        <w:t>Harian Ekonomi Neraca</w:t>
      </w:r>
      <w:r w:rsidRPr="00723AE8">
        <w:rPr>
          <w:rFonts w:ascii="Book Antiqua" w:eastAsia="Calibri" w:hAnsi="Book Antiqua" w:cs="Times New Roman"/>
          <w:sz w:val="20"/>
          <w:szCs w:val="20"/>
          <w:lang w:val="en-US"/>
        </w:rPr>
        <w:t xml:space="preserve">, Jumat, 20 September 2019, E-paper. </w:t>
      </w:r>
    </w:p>
    <w:p w:rsidR="00723AE8" w:rsidRPr="00723AE8" w:rsidRDefault="00863C11" w:rsidP="00723AE8">
      <w:pPr>
        <w:widowControl w:val="0"/>
        <w:autoSpaceDE w:val="0"/>
        <w:autoSpaceDN w:val="0"/>
        <w:adjustRightInd w:val="0"/>
        <w:spacing w:after="0" w:line="240" w:lineRule="auto"/>
        <w:ind w:left="426" w:hanging="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 xml:space="preserve">Mulyadi JMV (2016) </w:t>
      </w:r>
      <w:r w:rsidRPr="00723AE8">
        <w:rPr>
          <w:rFonts w:ascii="Book Antiqua" w:eastAsia="Calibri" w:hAnsi="Book Antiqua" w:cs="Times New Roman"/>
          <w:i/>
          <w:sz w:val="20"/>
          <w:szCs w:val="20"/>
          <w:lang w:val="en-US"/>
        </w:rPr>
        <w:t>Aplikasi Data Envelopment Analysis pada Perbankan Indonesia</w:t>
      </w:r>
      <w:r w:rsidRPr="00723AE8">
        <w:rPr>
          <w:rFonts w:ascii="Book Antiqua" w:eastAsia="Calibri" w:hAnsi="Book Antiqua" w:cs="Times New Roman"/>
          <w:sz w:val="20"/>
          <w:szCs w:val="20"/>
          <w:lang w:val="en-US"/>
        </w:rPr>
        <w:t xml:space="preserve">, Lintang Pustaka Utama Yogyakarta, cetakan pertama, Juli 2016. </w:t>
      </w:r>
    </w:p>
    <w:p w:rsidR="00723AE8" w:rsidRPr="00723AE8" w:rsidRDefault="00863C11" w:rsidP="00723AE8">
      <w:pPr>
        <w:widowControl w:val="0"/>
        <w:autoSpaceDE w:val="0"/>
        <w:autoSpaceDN w:val="0"/>
        <w:adjustRightInd w:val="0"/>
        <w:spacing w:after="0" w:line="240" w:lineRule="auto"/>
        <w:ind w:left="426" w:hanging="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 xml:space="preserve">Othman, F. M. </w:t>
      </w:r>
      <w:r w:rsidRPr="00723AE8">
        <w:rPr>
          <w:rFonts w:ascii="Book Antiqua" w:eastAsia="Calibri" w:hAnsi="Book Antiqua" w:cs="Times New Roman"/>
          <w:i/>
          <w:iCs/>
          <w:sz w:val="20"/>
          <w:szCs w:val="20"/>
          <w:lang w:val="en-US"/>
        </w:rPr>
        <w:t>et al.</w:t>
      </w:r>
      <w:r w:rsidRPr="00723AE8">
        <w:rPr>
          <w:rFonts w:ascii="Book Antiqua" w:eastAsia="Calibri" w:hAnsi="Book Antiqua" w:cs="Times New Roman"/>
          <w:sz w:val="20"/>
          <w:szCs w:val="20"/>
          <w:lang w:val="en-US"/>
        </w:rPr>
        <w:t xml:space="preserve"> (2016) ‘Data Envelopment Analysis</w:t>
      </w:r>
      <w:r w:rsidRPr="00723AE8">
        <w:rPr>
          <w:rFonts w:ascii="Times New Roman" w:eastAsia="Calibri" w:hAnsi="Times New Roman" w:cs="Times New Roman"/>
          <w:sz w:val="20"/>
          <w:szCs w:val="20"/>
          <w:lang w:val="en-US"/>
        </w:rPr>
        <w:t> </w:t>
      </w:r>
      <w:r w:rsidRPr="00723AE8">
        <w:rPr>
          <w:rFonts w:ascii="Book Antiqua" w:eastAsia="Calibri" w:hAnsi="Book Antiqua" w:cs="Times New Roman"/>
          <w:sz w:val="20"/>
          <w:szCs w:val="20"/>
          <w:lang w:val="en-US"/>
        </w:rPr>
        <w:t>: A Tool of Measuring Efficiency in Banking Sector</w:t>
      </w:r>
      <w:r w:rsidRPr="00723AE8">
        <w:rPr>
          <w:rFonts w:ascii="Book Antiqua" w:eastAsia="Calibri" w:hAnsi="Book Antiqua" w:cs="Book Antiqua"/>
          <w:sz w:val="20"/>
          <w:szCs w:val="20"/>
          <w:lang w:val="en-US"/>
        </w:rPr>
        <w:t>’</w:t>
      </w:r>
      <w:r w:rsidRPr="00723AE8">
        <w:rPr>
          <w:rFonts w:ascii="Book Antiqua" w:eastAsia="Calibri" w:hAnsi="Book Antiqua" w:cs="Times New Roman"/>
          <w:sz w:val="20"/>
          <w:szCs w:val="20"/>
          <w:lang w:val="en-US"/>
        </w:rPr>
        <w:t xml:space="preserve">, </w:t>
      </w:r>
      <w:r w:rsidRPr="00723AE8">
        <w:rPr>
          <w:rFonts w:ascii="Book Antiqua" w:eastAsia="Calibri" w:hAnsi="Book Antiqua" w:cs="Times New Roman"/>
          <w:i/>
          <w:iCs/>
          <w:sz w:val="20"/>
          <w:szCs w:val="20"/>
          <w:lang w:val="en-US"/>
        </w:rPr>
        <w:t>International Journal of Economics and Financial Issues</w:t>
      </w:r>
      <w:r w:rsidR="00723AE8" w:rsidRPr="00723AE8">
        <w:rPr>
          <w:rFonts w:ascii="Book Antiqua" w:eastAsia="Calibri" w:hAnsi="Book Antiqua" w:cs="Times New Roman"/>
          <w:sz w:val="20"/>
          <w:szCs w:val="20"/>
          <w:lang w:val="en-US"/>
        </w:rPr>
        <w:t>, 6(3), pp. 911–916.</w:t>
      </w:r>
    </w:p>
    <w:p w:rsidR="00723AE8" w:rsidRPr="00723AE8" w:rsidRDefault="00863C11" w:rsidP="00723AE8">
      <w:pPr>
        <w:widowControl w:val="0"/>
        <w:autoSpaceDE w:val="0"/>
        <w:autoSpaceDN w:val="0"/>
        <w:adjustRightInd w:val="0"/>
        <w:spacing w:after="0" w:line="240" w:lineRule="auto"/>
        <w:ind w:left="426" w:hanging="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Ouenniche, J. and Carrales, S. (2018) ‘Assessing efficiency profiles of UK commercial banks</w:t>
      </w:r>
      <w:r w:rsidRPr="00723AE8">
        <w:rPr>
          <w:rFonts w:ascii="Times New Roman" w:eastAsia="Calibri" w:hAnsi="Times New Roman" w:cs="Times New Roman"/>
          <w:sz w:val="20"/>
          <w:szCs w:val="20"/>
          <w:lang w:val="en-US"/>
        </w:rPr>
        <w:t> </w:t>
      </w:r>
      <w:r w:rsidRPr="00723AE8">
        <w:rPr>
          <w:rFonts w:ascii="Book Antiqua" w:eastAsia="Calibri" w:hAnsi="Book Antiqua" w:cs="Times New Roman"/>
          <w:sz w:val="20"/>
          <w:szCs w:val="20"/>
          <w:lang w:val="en-US"/>
        </w:rPr>
        <w:t>: a DEA analysis with regression-based feedback</w:t>
      </w:r>
      <w:r w:rsidRPr="00723AE8">
        <w:rPr>
          <w:rFonts w:ascii="Book Antiqua" w:eastAsia="Calibri" w:hAnsi="Book Antiqua" w:cs="Book Antiqua"/>
          <w:sz w:val="20"/>
          <w:szCs w:val="20"/>
          <w:lang w:val="en-US"/>
        </w:rPr>
        <w:t>’</w:t>
      </w:r>
      <w:r w:rsidRPr="00723AE8">
        <w:rPr>
          <w:rFonts w:ascii="Book Antiqua" w:eastAsia="Calibri" w:hAnsi="Book Antiqua" w:cs="Times New Roman"/>
          <w:sz w:val="20"/>
          <w:szCs w:val="20"/>
          <w:lang w:val="en-US"/>
        </w:rPr>
        <w:t xml:space="preserve">, </w:t>
      </w:r>
      <w:r w:rsidRPr="00723AE8">
        <w:rPr>
          <w:rFonts w:ascii="Book Antiqua" w:eastAsia="Calibri" w:hAnsi="Book Antiqua" w:cs="Times New Roman"/>
          <w:i/>
          <w:iCs/>
          <w:sz w:val="20"/>
          <w:szCs w:val="20"/>
          <w:lang w:val="en-US"/>
        </w:rPr>
        <w:t>Annals of Operations Research</w:t>
      </w:r>
      <w:r w:rsidRPr="00723AE8">
        <w:rPr>
          <w:rFonts w:ascii="Book Antiqua" w:eastAsia="Calibri" w:hAnsi="Book Antiqua" w:cs="Times New Roman"/>
          <w:sz w:val="20"/>
          <w:szCs w:val="20"/>
          <w:lang w:val="en-US"/>
        </w:rPr>
        <w:t xml:space="preserve">. Springer US, 266(1), pp. 551–587. </w:t>
      </w:r>
      <w:r w:rsidR="00723AE8" w:rsidRPr="00723AE8">
        <w:rPr>
          <w:rFonts w:ascii="Book Antiqua" w:eastAsia="Calibri" w:hAnsi="Book Antiqua" w:cs="Times New Roman"/>
          <w:sz w:val="20"/>
          <w:szCs w:val="20"/>
          <w:lang w:val="en-US"/>
        </w:rPr>
        <w:t>doi: 10.1007/s10479-018-2797-z.</w:t>
      </w:r>
    </w:p>
    <w:p w:rsidR="00723AE8" w:rsidRPr="00723AE8" w:rsidRDefault="00863C11" w:rsidP="00723AE8">
      <w:pPr>
        <w:widowControl w:val="0"/>
        <w:autoSpaceDE w:val="0"/>
        <w:autoSpaceDN w:val="0"/>
        <w:adjustRightInd w:val="0"/>
        <w:spacing w:after="0" w:line="240" w:lineRule="auto"/>
        <w:ind w:left="426" w:hanging="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 xml:space="preserve">Puspitasari, A., Purnomo, D. and Triyono, T. (2017) ‘Penggunaan Data Envelopment Analysis ( DEA ) Dalam Pengukuran Efisiensi Bank Umum Syariah Di Indonesia’, </w:t>
      </w:r>
      <w:r w:rsidRPr="00723AE8">
        <w:rPr>
          <w:rFonts w:ascii="Book Antiqua" w:eastAsia="Calibri" w:hAnsi="Book Antiqua" w:cs="Times New Roman"/>
          <w:i/>
          <w:iCs/>
          <w:sz w:val="20"/>
          <w:szCs w:val="20"/>
          <w:lang w:val="en-US"/>
        </w:rPr>
        <w:t>Jurnal Bisnis dan Manajemen Islam</w:t>
      </w:r>
      <w:r w:rsidR="00723AE8" w:rsidRPr="00723AE8">
        <w:rPr>
          <w:rFonts w:ascii="Book Antiqua" w:eastAsia="Calibri" w:hAnsi="Book Antiqua" w:cs="Times New Roman"/>
          <w:sz w:val="20"/>
          <w:szCs w:val="20"/>
          <w:lang w:val="en-US"/>
        </w:rPr>
        <w:t>, 5(2), pp. 293–304.</w:t>
      </w:r>
    </w:p>
    <w:p w:rsidR="00723AE8" w:rsidRPr="00723AE8" w:rsidRDefault="00863C11" w:rsidP="00723AE8">
      <w:pPr>
        <w:widowControl w:val="0"/>
        <w:autoSpaceDE w:val="0"/>
        <w:autoSpaceDN w:val="0"/>
        <w:adjustRightInd w:val="0"/>
        <w:spacing w:after="0" w:line="240" w:lineRule="auto"/>
        <w:ind w:left="426" w:hanging="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 xml:space="preserve">Qurniawati, R. S. (2013) ‘Efisiensi Perbankan Di Indonesia Dan Pengaruhnya Terhadap Return Saham Dengan Pendekatan Data Envelopment Analysis ( DEA )’, </w:t>
      </w:r>
      <w:r w:rsidRPr="00723AE8">
        <w:rPr>
          <w:rFonts w:ascii="Book Antiqua" w:eastAsia="Calibri" w:hAnsi="Book Antiqua" w:cs="Times New Roman"/>
          <w:i/>
          <w:iCs/>
          <w:sz w:val="20"/>
          <w:szCs w:val="20"/>
          <w:lang w:val="en-US"/>
        </w:rPr>
        <w:t>Benefit Jurnal Manajemen dan Bisnis</w:t>
      </w:r>
      <w:r w:rsidRPr="00723AE8">
        <w:rPr>
          <w:rFonts w:ascii="Book Antiqua" w:eastAsia="Calibri" w:hAnsi="Book Antiqua" w:cs="Times New Roman"/>
          <w:sz w:val="20"/>
          <w:szCs w:val="20"/>
          <w:lang w:val="en-US"/>
        </w:rPr>
        <w:t>,</w:t>
      </w:r>
      <w:r w:rsidR="00723AE8" w:rsidRPr="00723AE8">
        <w:rPr>
          <w:rFonts w:ascii="Book Antiqua" w:eastAsia="Calibri" w:hAnsi="Book Antiqua" w:cs="Times New Roman"/>
          <w:sz w:val="20"/>
          <w:szCs w:val="20"/>
          <w:lang w:val="en-US"/>
        </w:rPr>
        <w:t xml:space="preserve"> 17(1), pp. 27–40.</w:t>
      </w:r>
    </w:p>
    <w:p w:rsidR="00723AE8" w:rsidRPr="00723AE8" w:rsidRDefault="00863C11" w:rsidP="00723AE8">
      <w:pPr>
        <w:widowControl w:val="0"/>
        <w:autoSpaceDE w:val="0"/>
        <w:autoSpaceDN w:val="0"/>
        <w:adjustRightInd w:val="0"/>
        <w:spacing w:after="0" w:line="240" w:lineRule="auto"/>
        <w:ind w:left="426" w:hanging="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 xml:space="preserve">Sari, P. Z. and Saraswati, E. (2017) ‘The Determinant of Banking Efficiency in Indonesia ( DEA Approach )’, </w:t>
      </w:r>
      <w:r w:rsidRPr="00723AE8">
        <w:rPr>
          <w:rFonts w:ascii="Book Antiqua" w:eastAsia="Calibri" w:hAnsi="Book Antiqua" w:cs="Times New Roman"/>
          <w:i/>
          <w:iCs/>
          <w:sz w:val="20"/>
          <w:szCs w:val="20"/>
          <w:lang w:val="en-US"/>
        </w:rPr>
        <w:t>Jounal of Accounting and Business Education</w:t>
      </w:r>
      <w:r w:rsidR="00723AE8" w:rsidRPr="00723AE8">
        <w:rPr>
          <w:rFonts w:ascii="Book Antiqua" w:eastAsia="Calibri" w:hAnsi="Book Antiqua" w:cs="Times New Roman"/>
          <w:sz w:val="20"/>
          <w:szCs w:val="20"/>
          <w:lang w:val="en-US"/>
        </w:rPr>
        <w:t>, 1(2), pp. 208–229.</w:t>
      </w:r>
    </w:p>
    <w:p w:rsidR="00723AE8" w:rsidRPr="00723AE8" w:rsidRDefault="00863C11" w:rsidP="00723AE8">
      <w:pPr>
        <w:widowControl w:val="0"/>
        <w:autoSpaceDE w:val="0"/>
        <w:autoSpaceDN w:val="0"/>
        <w:adjustRightInd w:val="0"/>
        <w:spacing w:after="0" w:line="240" w:lineRule="auto"/>
        <w:ind w:left="426" w:hanging="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 xml:space="preserve">Seiford, L. M. and Zhu, J. (2011) </w:t>
      </w:r>
      <w:r w:rsidRPr="00723AE8">
        <w:rPr>
          <w:rFonts w:ascii="Book Antiqua" w:eastAsia="Calibri" w:hAnsi="Book Antiqua" w:cs="Times New Roman"/>
          <w:i/>
          <w:iCs/>
          <w:sz w:val="20"/>
          <w:szCs w:val="20"/>
          <w:lang w:val="en-US"/>
        </w:rPr>
        <w:t>Data Envelopment Analysis</w:t>
      </w:r>
      <w:r w:rsidRPr="00723AE8">
        <w:rPr>
          <w:rFonts w:ascii="Times New Roman" w:eastAsia="Calibri" w:hAnsi="Times New Roman" w:cs="Times New Roman"/>
          <w:i/>
          <w:iCs/>
          <w:sz w:val="20"/>
          <w:szCs w:val="20"/>
          <w:lang w:val="en-US"/>
        </w:rPr>
        <w:t> </w:t>
      </w:r>
      <w:r w:rsidRPr="00723AE8">
        <w:rPr>
          <w:rFonts w:ascii="Book Antiqua" w:eastAsia="Calibri" w:hAnsi="Book Antiqua" w:cs="Times New Roman"/>
          <w:i/>
          <w:iCs/>
          <w:sz w:val="20"/>
          <w:szCs w:val="20"/>
          <w:lang w:val="en-US"/>
        </w:rPr>
        <w:t>: History , Models , and Interpretations Chapter 1</w:t>
      </w:r>
      <w:r w:rsidRPr="00723AE8">
        <w:rPr>
          <w:rFonts w:ascii="Book Antiqua" w:eastAsia="Calibri" w:hAnsi="Book Antiqua" w:cs="Times New Roman"/>
          <w:sz w:val="20"/>
          <w:szCs w:val="20"/>
          <w:lang w:val="en-US"/>
        </w:rPr>
        <w:t xml:space="preserve">. </w:t>
      </w:r>
      <w:r w:rsidR="00723AE8" w:rsidRPr="00723AE8">
        <w:rPr>
          <w:rFonts w:ascii="Book Antiqua" w:eastAsia="Calibri" w:hAnsi="Book Antiqua" w:cs="Times New Roman"/>
          <w:sz w:val="20"/>
          <w:szCs w:val="20"/>
          <w:lang w:val="en-US"/>
        </w:rPr>
        <w:t>doi: 10.1007/978-1-4419-6151-8.</w:t>
      </w:r>
    </w:p>
    <w:p w:rsidR="00723AE8" w:rsidRPr="00723AE8" w:rsidRDefault="00863C11" w:rsidP="00723AE8">
      <w:pPr>
        <w:widowControl w:val="0"/>
        <w:autoSpaceDE w:val="0"/>
        <w:autoSpaceDN w:val="0"/>
        <w:adjustRightInd w:val="0"/>
        <w:spacing w:after="0" w:line="240" w:lineRule="auto"/>
        <w:ind w:left="426" w:hanging="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Singh, J., Vashisht, A. K. and Sharma, M. (2016) ‘Efficiency Analysis of Indian Commercial Banks</w:t>
      </w:r>
      <w:r w:rsidRPr="00723AE8">
        <w:rPr>
          <w:rFonts w:ascii="Times New Roman" w:eastAsia="Calibri" w:hAnsi="Times New Roman" w:cs="Times New Roman"/>
          <w:sz w:val="20"/>
          <w:szCs w:val="20"/>
          <w:lang w:val="en-US"/>
        </w:rPr>
        <w:t> </w:t>
      </w:r>
      <w:r w:rsidRPr="00723AE8">
        <w:rPr>
          <w:rFonts w:ascii="Book Antiqua" w:eastAsia="Calibri" w:hAnsi="Book Antiqua" w:cs="Times New Roman"/>
          <w:sz w:val="20"/>
          <w:szCs w:val="20"/>
          <w:lang w:val="en-US"/>
        </w:rPr>
        <w:t>: A DEA Approach</w:t>
      </w:r>
      <w:r w:rsidRPr="00723AE8">
        <w:rPr>
          <w:rFonts w:ascii="Book Antiqua" w:eastAsia="Calibri" w:hAnsi="Book Antiqua" w:cs="Book Antiqua"/>
          <w:sz w:val="20"/>
          <w:szCs w:val="20"/>
          <w:lang w:val="en-US"/>
        </w:rPr>
        <w:t>’</w:t>
      </w:r>
      <w:r w:rsidRPr="00723AE8">
        <w:rPr>
          <w:rFonts w:ascii="Book Antiqua" w:eastAsia="Calibri" w:hAnsi="Book Antiqua" w:cs="Times New Roman"/>
          <w:sz w:val="20"/>
          <w:szCs w:val="20"/>
          <w:lang w:val="en-US"/>
        </w:rPr>
        <w:t xml:space="preserve">, </w:t>
      </w:r>
      <w:r w:rsidRPr="00723AE8">
        <w:rPr>
          <w:rFonts w:ascii="Book Antiqua" w:eastAsia="Calibri" w:hAnsi="Book Antiqua" w:cs="Times New Roman"/>
          <w:i/>
          <w:iCs/>
          <w:sz w:val="20"/>
          <w:szCs w:val="20"/>
          <w:lang w:val="en-US"/>
        </w:rPr>
        <w:t>International Journal of Banking, Risk and Insurance</w:t>
      </w:r>
      <w:r w:rsidRPr="00723AE8">
        <w:rPr>
          <w:rFonts w:ascii="Book Antiqua" w:eastAsia="Calibri" w:hAnsi="Book Antiqua" w:cs="Times New Roman"/>
          <w:sz w:val="20"/>
          <w:szCs w:val="20"/>
          <w:lang w:val="en-US"/>
        </w:rPr>
        <w:t>, 4(2), p</w:t>
      </w:r>
      <w:r w:rsidR="00723AE8" w:rsidRPr="00723AE8">
        <w:rPr>
          <w:rFonts w:ascii="Book Antiqua" w:eastAsia="Calibri" w:hAnsi="Book Antiqua" w:cs="Times New Roman"/>
          <w:sz w:val="20"/>
          <w:szCs w:val="20"/>
          <w:lang w:val="en-US"/>
        </w:rPr>
        <w:t>p. 27–38.</w:t>
      </w:r>
    </w:p>
    <w:p w:rsidR="00723AE8" w:rsidRPr="00723AE8" w:rsidRDefault="00863C11" w:rsidP="00723AE8">
      <w:pPr>
        <w:widowControl w:val="0"/>
        <w:autoSpaceDE w:val="0"/>
        <w:autoSpaceDN w:val="0"/>
        <w:adjustRightInd w:val="0"/>
        <w:spacing w:after="0" w:line="240" w:lineRule="auto"/>
        <w:ind w:left="426" w:hanging="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 xml:space="preserve">Sutanto, A. H. (2015) ‘Analisis efisiensi teknis bank pembangunan daerah’, </w:t>
      </w:r>
      <w:r w:rsidRPr="00723AE8">
        <w:rPr>
          <w:rFonts w:ascii="Book Antiqua" w:eastAsia="Calibri" w:hAnsi="Book Antiqua" w:cs="Times New Roman"/>
          <w:i/>
          <w:iCs/>
          <w:sz w:val="20"/>
          <w:szCs w:val="20"/>
          <w:lang w:val="en-US"/>
        </w:rPr>
        <w:t>Jejak Journal of Economics and Policy</w:t>
      </w:r>
      <w:r w:rsidRPr="00723AE8">
        <w:rPr>
          <w:rFonts w:ascii="Book Antiqua" w:eastAsia="Calibri" w:hAnsi="Book Antiqua" w:cs="Times New Roman"/>
          <w:sz w:val="20"/>
          <w:szCs w:val="20"/>
          <w:lang w:val="en-US"/>
        </w:rPr>
        <w:t>, 8(1), pp. 23–35.</w:t>
      </w:r>
      <w:r w:rsidR="00723AE8" w:rsidRPr="00723AE8">
        <w:rPr>
          <w:rFonts w:ascii="Book Antiqua" w:eastAsia="Calibri" w:hAnsi="Book Antiqua" w:cs="Times New Roman"/>
          <w:sz w:val="20"/>
          <w:szCs w:val="20"/>
          <w:lang w:val="en-US"/>
        </w:rPr>
        <w:t xml:space="preserve"> doi: 10.15294/jejak.v8i1.3851.</w:t>
      </w:r>
    </w:p>
    <w:p w:rsidR="00723AE8" w:rsidRPr="00723AE8" w:rsidRDefault="00863C11" w:rsidP="00723AE8">
      <w:pPr>
        <w:widowControl w:val="0"/>
        <w:autoSpaceDE w:val="0"/>
        <w:autoSpaceDN w:val="0"/>
        <w:adjustRightInd w:val="0"/>
        <w:spacing w:after="0" w:line="240" w:lineRule="auto"/>
        <w:ind w:left="426" w:hanging="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 xml:space="preserve">Tahir, M. I., Abu-Bakar, N. M. and Haron, S. (2009) ‘Evaluating Efficiency of Malaysian Banks Using Data Envelopment Analysis’, </w:t>
      </w:r>
      <w:r w:rsidRPr="00723AE8">
        <w:rPr>
          <w:rFonts w:ascii="Book Antiqua" w:eastAsia="Calibri" w:hAnsi="Book Antiqua" w:cs="Times New Roman"/>
          <w:i/>
          <w:iCs/>
          <w:sz w:val="20"/>
          <w:szCs w:val="20"/>
          <w:lang w:val="en-US"/>
        </w:rPr>
        <w:t>International Journal of Business ang Management</w:t>
      </w:r>
      <w:r w:rsidR="00723AE8" w:rsidRPr="00723AE8">
        <w:rPr>
          <w:rFonts w:ascii="Book Antiqua" w:eastAsia="Calibri" w:hAnsi="Book Antiqua" w:cs="Times New Roman"/>
          <w:sz w:val="20"/>
          <w:szCs w:val="20"/>
          <w:lang w:val="en-US"/>
        </w:rPr>
        <w:t>, 4(8), pp. 96–106.</w:t>
      </w:r>
    </w:p>
    <w:p w:rsidR="00723AE8" w:rsidRPr="00723AE8" w:rsidRDefault="00863C11" w:rsidP="00723AE8">
      <w:pPr>
        <w:widowControl w:val="0"/>
        <w:autoSpaceDE w:val="0"/>
        <w:autoSpaceDN w:val="0"/>
        <w:adjustRightInd w:val="0"/>
        <w:spacing w:after="0" w:line="240" w:lineRule="auto"/>
        <w:ind w:left="426" w:hanging="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Wade D. Cook and Joe Zhu (2014) ‘</w:t>
      </w:r>
      <w:r w:rsidRPr="00723AE8">
        <w:rPr>
          <w:rFonts w:ascii="Book Antiqua" w:eastAsia="Calibri" w:hAnsi="Book Antiqua" w:cs="Times New Roman"/>
          <w:i/>
          <w:sz w:val="20"/>
          <w:szCs w:val="20"/>
          <w:lang w:val="en-US"/>
        </w:rPr>
        <w:t>Data Envelopment Analysis A Handbook on the Modeling of Internal Structures and Networks</w:t>
      </w:r>
      <w:r w:rsidRPr="00723AE8">
        <w:rPr>
          <w:rFonts w:ascii="Book Antiqua" w:eastAsia="Calibri" w:hAnsi="Book Antiqua" w:cs="Times New Roman"/>
          <w:sz w:val="20"/>
          <w:szCs w:val="20"/>
          <w:lang w:val="en-US"/>
        </w:rPr>
        <w:t xml:space="preserve">’ </w:t>
      </w:r>
      <w:r w:rsidRPr="00723AE8">
        <w:rPr>
          <w:rFonts w:ascii="Book Antiqua" w:eastAsia="Calibri" w:hAnsi="Book Antiqua" w:cs="Times New Roman"/>
          <w:i/>
          <w:iCs/>
          <w:sz w:val="20"/>
          <w:szCs w:val="20"/>
          <w:lang w:val="en-US"/>
        </w:rPr>
        <w:t>Chapter 1</w:t>
      </w:r>
      <w:r w:rsidRPr="00723AE8">
        <w:rPr>
          <w:rFonts w:ascii="Book Antiqua" w:eastAsia="Calibri" w:hAnsi="Book Antiqua" w:cs="Times New Roman"/>
          <w:sz w:val="20"/>
          <w:szCs w:val="20"/>
          <w:lang w:val="en-US"/>
        </w:rPr>
        <w:t xml:space="preserve">. </w:t>
      </w:r>
      <w:r w:rsidR="00723AE8" w:rsidRPr="00723AE8">
        <w:rPr>
          <w:rFonts w:ascii="Book Antiqua" w:eastAsia="Calibri" w:hAnsi="Book Antiqua" w:cs="Times New Roman"/>
          <w:sz w:val="20"/>
          <w:szCs w:val="20"/>
          <w:lang w:val="en-US"/>
        </w:rPr>
        <w:t>DOI 10.1007/978-1-4899-8068-7</w:t>
      </w:r>
    </w:p>
    <w:p w:rsidR="00723AE8" w:rsidRPr="00723AE8" w:rsidRDefault="00863C11" w:rsidP="00723AE8">
      <w:pPr>
        <w:widowControl w:val="0"/>
        <w:autoSpaceDE w:val="0"/>
        <w:autoSpaceDN w:val="0"/>
        <w:adjustRightInd w:val="0"/>
        <w:spacing w:after="0" w:line="240" w:lineRule="auto"/>
        <w:ind w:left="426" w:hanging="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Wahyudi, S. T. and Azizah (2018) ‘A Comparative Study of Banking Efficiency In Asean-5</w:t>
      </w:r>
      <w:r w:rsidRPr="00723AE8">
        <w:rPr>
          <w:rFonts w:ascii="Times New Roman" w:eastAsia="Calibri" w:hAnsi="Times New Roman" w:cs="Times New Roman"/>
          <w:sz w:val="20"/>
          <w:szCs w:val="20"/>
          <w:lang w:val="en-US"/>
        </w:rPr>
        <w:t> </w:t>
      </w:r>
      <w:r w:rsidRPr="00723AE8">
        <w:rPr>
          <w:rFonts w:ascii="Book Antiqua" w:eastAsia="Calibri" w:hAnsi="Book Antiqua" w:cs="Times New Roman"/>
          <w:sz w:val="20"/>
          <w:szCs w:val="20"/>
          <w:lang w:val="en-US"/>
        </w:rPr>
        <w:t xml:space="preserve">: The Data Envelopment Analysis (DEA) Approach’, </w:t>
      </w:r>
      <w:r w:rsidRPr="00723AE8">
        <w:rPr>
          <w:rFonts w:ascii="Book Antiqua" w:eastAsia="Calibri" w:hAnsi="Book Antiqua" w:cs="Times New Roman"/>
          <w:i/>
          <w:iCs/>
          <w:sz w:val="20"/>
          <w:szCs w:val="20"/>
          <w:lang w:val="en-US"/>
        </w:rPr>
        <w:t>Journal of Indonesia Economy and Business</w:t>
      </w:r>
      <w:r w:rsidR="00723AE8" w:rsidRPr="00723AE8">
        <w:rPr>
          <w:rFonts w:ascii="Book Antiqua" w:eastAsia="Calibri" w:hAnsi="Book Antiqua" w:cs="Times New Roman"/>
          <w:sz w:val="20"/>
          <w:szCs w:val="20"/>
          <w:lang w:val="en-US"/>
        </w:rPr>
        <w:t>, 33(2), pp. 168–186.</w:t>
      </w:r>
    </w:p>
    <w:p w:rsidR="00723AE8" w:rsidRPr="00723AE8" w:rsidRDefault="00863C11" w:rsidP="00723AE8">
      <w:pPr>
        <w:widowControl w:val="0"/>
        <w:autoSpaceDE w:val="0"/>
        <w:autoSpaceDN w:val="0"/>
        <w:adjustRightInd w:val="0"/>
        <w:spacing w:after="0" w:line="240" w:lineRule="auto"/>
        <w:ind w:left="426" w:hanging="426"/>
        <w:jc w:val="both"/>
        <w:rPr>
          <w:rFonts w:ascii="Book Antiqua" w:eastAsia="Calibri" w:hAnsi="Book Antiqua" w:cs="Times New Roman"/>
          <w:sz w:val="20"/>
          <w:szCs w:val="20"/>
          <w:lang w:val="en-US"/>
        </w:rPr>
      </w:pPr>
      <w:r w:rsidRPr="00723AE8">
        <w:rPr>
          <w:rFonts w:ascii="Book Antiqua" w:eastAsia="Calibri" w:hAnsi="Book Antiqua" w:cs="Times New Roman"/>
          <w:sz w:val="20"/>
          <w:szCs w:val="20"/>
          <w:lang w:val="en-US"/>
        </w:rPr>
        <w:t xml:space="preserve">Yahya, M. (2012) ‘Menakar Efisiensi BPRS Sebagai Bank Pembiayaan Rakyat’, </w:t>
      </w:r>
      <w:r w:rsidRPr="00723AE8">
        <w:rPr>
          <w:rFonts w:ascii="Book Antiqua" w:eastAsia="Calibri" w:hAnsi="Book Antiqua" w:cs="Times New Roman"/>
          <w:i/>
          <w:iCs/>
          <w:sz w:val="20"/>
          <w:szCs w:val="20"/>
          <w:lang w:val="en-US"/>
        </w:rPr>
        <w:t>Ekuitas jurnal Ekonomi dan Keuangan</w:t>
      </w:r>
      <w:r w:rsidR="00723AE8" w:rsidRPr="00723AE8">
        <w:rPr>
          <w:rFonts w:ascii="Book Antiqua" w:eastAsia="Calibri" w:hAnsi="Book Antiqua" w:cs="Times New Roman"/>
          <w:sz w:val="20"/>
          <w:szCs w:val="20"/>
          <w:lang w:val="en-US"/>
        </w:rPr>
        <w:t>, 18(1), pp. 56–76.</w:t>
      </w:r>
    </w:p>
    <w:p w:rsidR="00D177FA" w:rsidRPr="00F00584" w:rsidRDefault="00863C11" w:rsidP="00F00584">
      <w:pPr>
        <w:widowControl w:val="0"/>
        <w:autoSpaceDE w:val="0"/>
        <w:autoSpaceDN w:val="0"/>
        <w:adjustRightInd w:val="0"/>
        <w:spacing w:after="0" w:line="240" w:lineRule="auto"/>
        <w:ind w:left="426" w:hanging="426"/>
        <w:jc w:val="both"/>
        <w:rPr>
          <w:rFonts w:ascii="Book Antiqua" w:eastAsia="Calibri" w:hAnsi="Book Antiqua" w:cs="Times New Roman"/>
          <w:sz w:val="20"/>
          <w:szCs w:val="20"/>
        </w:rPr>
      </w:pPr>
      <w:r w:rsidRPr="00723AE8">
        <w:rPr>
          <w:rFonts w:ascii="Book Antiqua" w:eastAsia="Calibri" w:hAnsi="Book Antiqua" w:cs="Times New Roman"/>
          <w:sz w:val="20"/>
          <w:szCs w:val="20"/>
          <w:lang w:val="en-US"/>
        </w:rPr>
        <w:t xml:space="preserve">Zhu, J. (2015) </w:t>
      </w:r>
      <w:r w:rsidRPr="00723AE8">
        <w:rPr>
          <w:rFonts w:ascii="Book Antiqua" w:eastAsia="Calibri" w:hAnsi="Book Antiqua" w:cs="Times New Roman"/>
          <w:i/>
          <w:iCs/>
          <w:sz w:val="20"/>
          <w:szCs w:val="20"/>
          <w:lang w:val="en-US"/>
        </w:rPr>
        <w:t>International Series in Operations Research &amp; Management Science Associate Series Editor</w:t>
      </w:r>
      <w:r w:rsidR="00F00584">
        <w:rPr>
          <w:rFonts w:ascii="Book Antiqua" w:eastAsia="Calibri" w:hAnsi="Book Antiqua" w:cs="Times New Roman"/>
          <w:sz w:val="20"/>
          <w:szCs w:val="20"/>
          <w:lang w:val="en-US"/>
        </w:rPr>
        <w:t>.</w:t>
      </w:r>
    </w:p>
    <w:sectPr w:rsidR="00D177FA" w:rsidRPr="00F00584" w:rsidSect="00F0058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797" w:rsidRDefault="00BE7797">
      <w:pPr>
        <w:spacing w:after="0" w:line="240" w:lineRule="auto"/>
      </w:pPr>
      <w:r>
        <w:separator/>
      </w:r>
    </w:p>
  </w:endnote>
  <w:endnote w:type="continuationSeparator" w:id="0">
    <w:p w:rsidR="00BE7797" w:rsidRDefault="00BE7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dvP6975">
    <w:altName w:val="Cambria"/>
    <w:panose1 w:val="00000000000000000000"/>
    <w:charset w:val="00"/>
    <w:family w:val="roman"/>
    <w:notTrueType/>
    <w:pitch w:val="default"/>
    <w:sig w:usb0="00000003" w:usb1="00000000" w:usb2="00000000" w:usb3="00000000" w:csb0="00000001" w:csb1="00000000"/>
  </w:font>
  <w:font w:name="AdvP696A">
    <w:altName w:val="Calibri"/>
    <w:panose1 w:val="00000000000000000000"/>
    <w:charset w:val="00"/>
    <w:family w:val="swiss"/>
    <w:notTrueType/>
    <w:pitch w:val="default"/>
    <w:sig w:usb0="00000003" w:usb1="00000000" w:usb2="00000000" w:usb3="00000000" w:csb0="00000001" w:csb1="00000000"/>
  </w:font>
  <w:font w:name="AdvP4C4E46">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D9D" w:rsidRDefault="009A0D9D">
    <w:pPr>
      <w:pStyle w:val="Footer"/>
      <w:jc w:val="right"/>
    </w:pPr>
    <w:r>
      <w:fldChar w:fldCharType="begin"/>
    </w:r>
    <w:r>
      <w:instrText xml:space="preserve"> PAGE   \* MERGEFORMAT </w:instrText>
    </w:r>
    <w:r>
      <w:fldChar w:fldCharType="separate"/>
    </w:r>
    <w:r w:rsidR="00D55763">
      <w:rPr>
        <w:noProof/>
      </w:rPr>
      <w:t>1</w:t>
    </w:r>
    <w:r>
      <w:rPr>
        <w:noProof/>
      </w:rPr>
      <w:fldChar w:fldCharType="end"/>
    </w:r>
  </w:p>
  <w:p w:rsidR="009A0D9D" w:rsidRDefault="009A0D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797" w:rsidRDefault="00BE7797">
      <w:pPr>
        <w:spacing w:after="0" w:line="240" w:lineRule="auto"/>
      </w:pPr>
      <w:r>
        <w:separator/>
      </w:r>
    </w:p>
  </w:footnote>
  <w:footnote w:type="continuationSeparator" w:id="0">
    <w:p w:rsidR="00BE7797" w:rsidRDefault="00BE77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20A0D"/>
    <w:multiLevelType w:val="hybridMultilevel"/>
    <w:tmpl w:val="27C4C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F6437"/>
    <w:multiLevelType w:val="multilevel"/>
    <w:tmpl w:val="7B0E2658"/>
    <w:lvl w:ilvl="0">
      <w:start w:val="4"/>
      <w:numFmt w:val="decimal"/>
      <w:lvlText w:val="%1."/>
      <w:lvlJc w:val="left"/>
      <w:pPr>
        <w:ind w:left="36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7026679"/>
    <w:multiLevelType w:val="hybridMultilevel"/>
    <w:tmpl w:val="0A0A8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B755F"/>
    <w:multiLevelType w:val="hybridMultilevel"/>
    <w:tmpl w:val="41A81ED0"/>
    <w:lvl w:ilvl="0" w:tplc="E25A53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B849DD"/>
    <w:multiLevelType w:val="hybridMultilevel"/>
    <w:tmpl w:val="9D94D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5241CC"/>
    <w:multiLevelType w:val="hybridMultilevel"/>
    <w:tmpl w:val="F63A9F6C"/>
    <w:lvl w:ilvl="0" w:tplc="0DB076E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E1663D"/>
    <w:multiLevelType w:val="hybridMultilevel"/>
    <w:tmpl w:val="4DCABC50"/>
    <w:lvl w:ilvl="0" w:tplc="5470B8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DB4DCF"/>
    <w:multiLevelType w:val="hybridMultilevel"/>
    <w:tmpl w:val="72965756"/>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8">
    <w:nsid w:val="371323ED"/>
    <w:multiLevelType w:val="hybridMultilevel"/>
    <w:tmpl w:val="920C5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503514"/>
    <w:multiLevelType w:val="multilevel"/>
    <w:tmpl w:val="115C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B9038A"/>
    <w:multiLevelType w:val="hybridMultilevel"/>
    <w:tmpl w:val="3760C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975463"/>
    <w:multiLevelType w:val="hybridMultilevel"/>
    <w:tmpl w:val="1DF226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D95B3C"/>
    <w:multiLevelType w:val="hybridMultilevel"/>
    <w:tmpl w:val="BB42549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3">
    <w:nsid w:val="63C55755"/>
    <w:multiLevelType w:val="hybridMultilevel"/>
    <w:tmpl w:val="35E0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1C4682"/>
    <w:multiLevelType w:val="hybridMultilevel"/>
    <w:tmpl w:val="CFF22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090114"/>
    <w:multiLevelType w:val="hybridMultilevel"/>
    <w:tmpl w:val="2F24D1B0"/>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6">
    <w:nsid w:val="7B5A70E3"/>
    <w:multiLevelType w:val="hybridMultilevel"/>
    <w:tmpl w:val="D50CA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3"/>
  </w:num>
  <w:num w:numId="4">
    <w:abstractNumId w:val="10"/>
  </w:num>
  <w:num w:numId="5">
    <w:abstractNumId w:val="12"/>
  </w:num>
  <w:num w:numId="6">
    <w:abstractNumId w:val="14"/>
  </w:num>
  <w:num w:numId="7">
    <w:abstractNumId w:val="15"/>
  </w:num>
  <w:num w:numId="8">
    <w:abstractNumId w:val="7"/>
  </w:num>
  <w:num w:numId="9">
    <w:abstractNumId w:val="0"/>
  </w:num>
  <w:num w:numId="10">
    <w:abstractNumId w:val="4"/>
  </w:num>
  <w:num w:numId="11">
    <w:abstractNumId w:val="8"/>
  </w:num>
  <w:num w:numId="12">
    <w:abstractNumId w:val="5"/>
  </w:num>
  <w:num w:numId="13">
    <w:abstractNumId w:val="13"/>
  </w:num>
  <w:num w:numId="14">
    <w:abstractNumId w:val="6"/>
  </w:num>
  <w:num w:numId="15">
    <w:abstractNumId w:val="9"/>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C11"/>
    <w:rsid w:val="002221B1"/>
    <w:rsid w:val="005072AB"/>
    <w:rsid w:val="00597A72"/>
    <w:rsid w:val="00723AE8"/>
    <w:rsid w:val="007531D4"/>
    <w:rsid w:val="00831B29"/>
    <w:rsid w:val="0085738A"/>
    <w:rsid w:val="00863C11"/>
    <w:rsid w:val="008F7159"/>
    <w:rsid w:val="009A0D9D"/>
    <w:rsid w:val="00A0356C"/>
    <w:rsid w:val="00AF0F68"/>
    <w:rsid w:val="00BC1273"/>
    <w:rsid w:val="00BE6FF9"/>
    <w:rsid w:val="00BE7797"/>
    <w:rsid w:val="00D177FA"/>
    <w:rsid w:val="00D46B43"/>
    <w:rsid w:val="00D55763"/>
    <w:rsid w:val="00DF5681"/>
    <w:rsid w:val="00F0058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DF6D6F52-2E6E-4230-8A40-52251C018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63C11"/>
  </w:style>
  <w:style w:type="paragraph" w:styleId="BalloonText">
    <w:name w:val="Balloon Text"/>
    <w:basedOn w:val="Normal"/>
    <w:link w:val="BalloonTextChar"/>
    <w:uiPriority w:val="99"/>
    <w:semiHidden/>
    <w:unhideWhenUsed/>
    <w:rsid w:val="00863C11"/>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863C11"/>
    <w:rPr>
      <w:rFonts w:ascii="Tahoma" w:eastAsia="Calibri" w:hAnsi="Tahoma" w:cs="Times New Roman"/>
      <w:sz w:val="16"/>
      <w:szCs w:val="16"/>
      <w:lang w:val="x-none" w:eastAsia="x-none"/>
    </w:rPr>
  </w:style>
  <w:style w:type="paragraph" w:styleId="ListParagraph">
    <w:name w:val="List Paragraph"/>
    <w:basedOn w:val="Normal"/>
    <w:uiPriority w:val="34"/>
    <w:qFormat/>
    <w:rsid w:val="00863C11"/>
    <w:pPr>
      <w:ind w:left="720"/>
      <w:contextualSpacing/>
    </w:pPr>
    <w:rPr>
      <w:rFonts w:ascii="Calibri" w:eastAsia="Calibri" w:hAnsi="Calibri" w:cs="Times New Roman"/>
      <w:lang w:val="en-US"/>
    </w:rPr>
  </w:style>
  <w:style w:type="paragraph" w:styleId="Header">
    <w:name w:val="header"/>
    <w:basedOn w:val="Normal"/>
    <w:link w:val="HeaderChar"/>
    <w:uiPriority w:val="99"/>
    <w:semiHidden/>
    <w:unhideWhenUsed/>
    <w:rsid w:val="00863C11"/>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semiHidden/>
    <w:rsid w:val="00863C11"/>
    <w:rPr>
      <w:rFonts w:ascii="Calibri" w:eastAsia="Calibri" w:hAnsi="Calibri" w:cs="Times New Roman"/>
      <w:lang w:val="en-US"/>
    </w:rPr>
  </w:style>
  <w:style w:type="paragraph" w:styleId="Footer">
    <w:name w:val="footer"/>
    <w:basedOn w:val="Normal"/>
    <w:link w:val="FooterChar"/>
    <w:uiPriority w:val="99"/>
    <w:unhideWhenUsed/>
    <w:rsid w:val="00863C11"/>
    <w:pPr>
      <w:tabs>
        <w:tab w:val="center" w:pos="4680"/>
        <w:tab w:val="right" w:pos="9360"/>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863C11"/>
    <w:rPr>
      <w:rFonts w:ascii="Calibri" w:eastAsia="Calibri" w:hAnsi="Calibri" w:cs="Times New Roman"/>
      <w:lang w:val="en-US"/>
    </w:rPr>
  </w:style>
  <w:style w:type="character" w:customStyle="1" w:styleId="tlid-translation">
    <w:name w:val="tlid-translation"/>
    <w:basedOn w:val="DefaultParagraphFont"/>
    <w:rsid w:val="00863C11"/>
  </w:style>
  <w:style w:type="character" w:styleId="Emphasis">
    <w:name w:val="Emphasis"/>
    <w:uiPriority w:val="20"/>
    <w:qFormat/>
    <w:rsid w:val="00863C11"/>
    <w:rPr>
      <w:i/>
      <w:iCs/>
    </w:rPr>
  </w:style>
  <w:style w:type="table" w:styleId="TableGrid">
    <w:name w:val="Table Grid"/>
    <w:basedOn w:val="TableNormal"/>
    <w:uiPriority w:val="59"/>
    <w:rsid w:val="00863C11"/>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3C11"/>
    <w:pPr>
      <w:autoSpaceDE w:val="0"/>
      <w:autoSpaceDN w:val="0"/>
      <w:adjustRightInd w:val="0"/>
      <w:spacing w:after="0" w:line="240" w:lineRule="auto"/>
    </w:pPr>
    <w:rPr>
      <w:rFonts w:ascii="Garamond" w:eastAsia="Calibri" w:hAnsi="Garamond" w:cs="Garamond"/>
      <w:color w:val="000000"/>
      <w:sz w:val="24"/>
      <w:szCs w:val="24"/>
      <w:lang w:val="en-US"/>
    </w:rPr>
  </w:style>
  <w:style w:type="character" w:customStyle="1" w:styleId="A5">
    <w:name w:val="A5"/>
    <w:uiPriority w:val="99"/>
    <w:rsid w:val="00863C11"/>
    <w:rPr>
      <w:b/>
      <w:bCs/>
      <w:color w:val="000000"/>
      <w:sz w:val="14"/>
      <w:szCs w:val="14"/>
    </w:rPr>
  </w:style>
  <w:style w:type="character" w:customStyle="1" w:styleId="A2">
    <w:name w:val="A2"/>
    <w:uiPriority w:val="99"/>
    <w:rsid w:val="00863C11"/>
    <w:rPr>
      <w:color w:val="000000"/>
      <w:sz w:val="18"/>
      <w:szCs w:val="18"/>
    </w:rPr>
  </w:style>
  <w:style w:type="character" w:styleId="CommentReference">
    <w:name w:val="annotation reference"/>
    <w:uiPriority w:val="99"/>
    <w:semiHidden/>
    <w:unhideWhenUsed/>
    <w:rsid w:val="00863C11"/>
    <w:rPr>
      <w:sz w:val="16"/>
      <w:szCs w:val="16"/>
    </w:rPr>
  </w:style>
  <w:style w:type="paragraph" w:styleId="CommentText">
    <w:name w:val="annotation text"/>
    <w:basedOn w:val="Normal"/>
    <w:link w:val="CommentTextChar"/>
    <w:uiPriority w:val="99"/>
    <w:semiHidden/>
    <w:unhideWhenUsed/>
    <w:rsid w:val="00863C11"/>
    <w:pPr>
      <w:spacing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semiHidden/>
    <w:rsid w:val="00863C11"/>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863C11"/>
    <w:rPr>
      <w:b/>
      <w:bCs/>
    </w:rPr>
  </w:style>
  <w:style w:type="character" w:customStyle="1" w:styleId="CommentSubjectChar">
    <w:name w:val="Comment Subject Char"/>
    <w:basedOn w:val="CommentTextChar"/>
    <w:link w:val="CommentSubject"/>
    <w:uiPriority w:val="99"/>
    <w:semiHidden/>
    <w:rsid w:val="00863C11"/>
    <w:rPr>
      <w:rFonts w:ascii="Calibri" w:eastAsia="Calibri" w:hAnsi="Calibri" w:cs="Times New Roman"/>
      <w:b/>
      <w:bCs/>
      <w:sz w:val="20"/>
      <w:szCs w:val="20"/>
      <w:lang w:val="x-none" w:eastAsia="x-none"/>
    </w:rPr>
  </w:style>
  <w:style w:type="paragraph" w:customStyle="1" w:styleId="Normal1">
    <w:name w:val="Normal1"/>
    <w:basedOn w:val="Normal"/>
    <w:rsid w:val="00863C11"/>
    <w:pPr>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Strong">
    <w:name w:val="Strong"/>
    <w:uiPriority w:val="22"/>
    <w:qFormat/>
    <w:rsid w:val="00863C11"/>
    <w:rPr>
      <w:b/>
      <w:bCs/>
    </w:rPr>
  </w:style>
  <w:style w:type="character" w:styleId="Hyperlink">
    <w:name w:val="Hyperlink"/>
    <w:uiPriority w:val="99"/>
    <w:semiHidden/>
    <w:unhideWhenUsed/>
    <w:rsid w:val="00863C11"/>
    <w:rPr>
      <w:strike w:val="0"/>
      <w:dstrike w:val="0"/>
      <w:color w:val="FF9900"/>
      <w:u w:val="none"/>
      <w:effect w:val="none"/>
    </w:rPr>
  </w:style>
  <w:style w:type="character" w:customStyle="1" w:styleId="A3">
    <w:name w:val="A3"/>
    <w:uiPriority w:val="99"/>
    <w:rsid w:val="00863C11"/>
    <w:rPr>
      <w:i/>
      <w:iCs/>
      <w:color w:val="000000"/>
      <w:sz w:val="20"/>
      <w:szCs w:val="20"/>
    </w:rPr>
  </w:style>
  <w:style w:type="character" w:customStyle="1" w:styleId="pull-right">
    <w:name w:val="pull-right"/>
    <w:basedOn w:val="DefaultParagraphFont"/>
    <w:rsid w:val="00863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5329</Words>
  <Characters>30379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LANNAVIVIAN</dc:creator>
  <cp:lastModifiedBy>TRI SUHARTUTI</cp:lastModifiedBy>
  <cp:revision>2</cp:revision>
  <dcterms:created xsi:type="dcterms:W3CDTF">2019-10-10T01:10:00Z</dcterms:created>
  <dcterms:modified xsi:type="dcterms:W3CDTF">2019-10-10T01:10:00Z</dcterms:modified>
</cp:coreProperties>
</file>