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050F6" w14:textId="77777777" w:rsidR="0084540C" w:rsidRPr="002B4317" w:rsidRDefault="0084540C" w:rsidP="005E10ED">
      <w:pPr>
        <w:pStyle w:val="VenturaCover1"/>
      </w:pPr>
    </w:p>
    <w:p w14:paraId="3FBED7C4" w14:textId="77777777" w:rsidR="00B90B6F" w:rsidRPr="00B90B6F" w:rsidRDefault="00373A35" w:rsidP="000B0B83">
      <w:pPr>
        <w:pStyle w:val="Ventura-Author"/>
        <w:rPr>
          <w:i/>
          <w:iCs/>
          <w:sz w:val="32"/>
          <w:szCs w:val="26"/>
        </w:rPr>
      </w:pPr>
      <w:r w:rsidRPr="00B90B6F">
        <w:rPr>
          <w:i/>
          <w:iCs/>
          <w:sz w:val="32"/>
          <w:szCs w:val="26"/>
        </w:rPr>
        <w:t>Characteristics of Islamic Corporate Social Responsibility (ICSR) Disclosures</w:t>
      </w:r>
    </w:p>
    <w:p w14:paraId="17685159" w14:textId="77777777" w:rsidR="00DF481C" w:rsidRPr="000B0B83" w:rsidRDefault="00373A35" w:rsidP="000B0B83">
      <w:pPr>
        <w:pStyle w:val="Ventura-Author"/>
        <w:rPr>
          <w:lang w:val="id-ID"/>
        </w:rPr>
      </w:pPr>
      <w:proofErr w:type="spellStart"/>
      <w:r>
        <w:rPr>
          <w:lang w:val="en-GB"/>
        </w:rPr>
        <w:t>Dedik</w:t>
      </w:r>
      <w:proofErr w:type="spellEnd"/>
      <w:r>
        <w:rPr>
          <w:lang w:val="en-GB"/>
        </w:rPr>
        <w:t xml:space="preserve"> Nur </w:t>
      </w:r>
      <w:proofErr w:type="spellStart"/>
      <w:r>
        <w:rPr>
          <w:lang w:val="en-GB"/>
        </w:rPr>
        <w:t>Triyanto</w:t>
      </w:r>
      <w:proofErr w:type="spellEnd"/>
      <w:r w:rsidR="00851403" w:rsidRPr="002B4317">
        <w:rPr>
          <w:vertAlign w:val="superscript"/>
        </w:rPr>
        <w:t>1</w:t>
      </w:r>
      <w:r w:rsidR="000B0B83">
        <w:rPr>
          <w:lang w:val="id-ID"/>
        </w:rPr>
        <w:t xml:space="preserve">, </w:t>
      </w:r>
      <w:r>
        <w:rPr>
          <w:lang w:val="en-GB"/>
        </w:rPr>
        <w:t xml:space="preserve">Lutfi </w:t>
      </w:r>
      <w:proofErr w:type="spellStart"/>
      <w:r>
        <w:rPr>
          <w:lang w:val="en-GB"/>
        </w:rPr>
        <w:t>Kurniatir</w:t>
      </w:r>
      <w:proofErr w:type="spellEnd"/>
      <w:r>
        <w:rPr>
          <w:lang w:val="en-GB"/>
        </w:rPr>
        <w:t xml:space="preserve"> </w:t>
      </w:r>
      <w:proofErr w:type="spellStart"/>
      <w:r>
        <w:rPr>
          <w:lang w:val="en-GB"/>
        </w:rPr>
        <w:t>Rohmah</w:t>
      </w:r>
      <w:proofErr w:type="spellEnd"/>
      <w:r w:rsidR="000B0B83">
        <w:rPr>
          <w:vertAlign w:val="superscript"/>
          <w:lang w:val="id-ID"/>
        </w:rPr>
        <w:t>2</w:t>
      </w:r>
    </w:p>
    <w:p w14:paraId="18058054" w14:textId="77777777" w:rsidR="00A95189" w:rsidRPr="002B4317" w:rsidRDefault="00A95189" w:rsidP="005E10ED">
      <w:pPr>
        <w:pStyle w:val="Ventura-AuthorAddress"/>
      </w:pPr>
    </w:p>
    <w:p w14:paraId="2618C473" w14:textId="77777777" w:rsidR="000D4D0C" w:rsidRPr="000B0B83" w:rsidRDefault="00373A35" w:rsidP="000B0B83">
      <w:pPr>
        <w:pStyle w:val="Ventura-AuthorAddress"/>
      </w:pPr>
      <w:r w:rsidRPr="000B0B83">
        <w:rPr>
          <w:vertAlign w:val="superscript"/>
        </w:rPr>
        <w:t>1</w:t>
      </w:r>
      <w:r w:rsidR="00A114A3" w:rsidRPr="000B0B83">
        <w:t xml:space="preserve"> </w:t>
      </w:r>
      <w:r w:rsidR="00BA58DA" w:rsidRPr="00BA58DA">
        <w:t xml:space="preserve">Telkom University, </w:t>
      </w:r>
      <w:proofErr w:type="spellStart"/>
      <w:r w:rsidR="00BA58DA" w:rsidRPr="00BA58DA">
        <w:t>Dayeuhkolot</w:t>
      </w:r>
      <w:proofErr w:type="spellEnd"/>
      <w:r w:rsidR="00BA58DA" w:rsidRPr="00BA58DA">
        <w:t xml:space="preserve"> Telecommunications Street, Bandung, West Java</w:t>
      </w:r>
    </w:p>
    <w:p w14:paraId="1F353085" w14:textId="77777777" w:rsidR="000B0B83" w:rsidRPr="000B0B83" w:rsidRDefault="00373A35" w:rsidP="000B0B83">
      <w:pPr>
        <w:pStyle w:val="Ventura-AuthorAddress"/>
      </w:pPr>
      <w:r>
        <w:rPr>
          <w:vertAlign w:val="superscript"/>
        </w:rPr>
        <w:t>2</w:t>
      </w:r>
      <w:r w:rsidRPr="000B0B83">
        <w:t xml:space="preserve"> </w:t>
      </w:r>
      <w:r w:rsidR="00BA58DA" w:rsidRPr="00BA58DA">
        <w:t xml:space="preserve">Telkom University, </w:t>
      </w:r>
      <w:proofErr w:type="spellStart"/>
      <w:r w:rsidR="00BA58DA" w:rsidRPr="00BA58DA">
        <w:t>Dayeuhkolot</w:t>
      </w:r>
      <w:proofErr w:type="spellEnd"/>
      <w:r w:rsidR="00BA58DA" w:rsidRPr="00BA58DA">
        <w:t xml:space="preserve"> Telecommunications Street, Bandung, West Java</w:t>
      </w:r>
    </w:p>
    <w:p w14:paraId="56930F65" w14:textId="77777777" w:rsidR="00DF481C" w:rsidRPr="002B4317" w:rsidRDefault="00DF481C" w:rsidP="005E10ED">
      <w:pPr>
        <w:pStyle w:val="Ventura-AuthorAddress"/>
        <w:rPr>
          <w:lang w:eastAsia="id-ID"/>
        </w:rPr>
      </w:pPr>
    </w:p>
    <w:p w14:paraId="62C26E8E" w14:textId="77777777" w:rsidR="00A95189" w:rsidRPr="002B4317" w:rsidRDefault="00A95189" w:rsidP="005E10ED">
      <w:pPr>
        <w:pStyle w:val="Ventura-Abstract"/>
      </w:pPr>
    </w:p>
    <w:tbl>
      <w:tblPr>
        <w:tblW w:w="5010" w:type="pct"/>
        <w:jc w:val="center"/>
        <w:tblCellMar>
          <w:left w:w="0" w:type="dxa"/>
          <w:right w:w="0" w:type="dxa"/>
        </w:tblCellMar>
        <w:tblLook w:val="01E0" w:firstRow="1" w:lastRow="1" w:firstColumn="1" w:lastColumn="1" w:noHBand="0" w:noVBand="0"/>
      </w:tblPr>
      <w:tblGrid>
        <w:gridCol w:w="2977"/>
        <w:gridCol w:w="294"/>
        <w:gridCol w:w="6274"/>
      </w:tblGrid>
      <w:tr w:rsidR="003916FC" w14:paraId="36F4C8F2" w14:textId="77777777" w:rsidTr="00E03BC6">
        <w:trPr>
          <w:jc w:val="center"/>
        </w:trPr>
        <w:tc>
          <w:tcPr>
            <w:tcW w:w="2977" w:type="dxa"/>
            <w:vMerge w:val="restart"/>
          </w:tcPr>
          <w:p w14:paraId="581827C2" w14:textId="77777777" w:rsidR="00284444" w:rsidRPr="002B4317" w:rsidRDefault="00373A35" w:rsidP="005E10ED">
            <w:pPr>
              <w:pStyle w:val="Ventura-AbstractTitle"/>
            </w:pPr>
            <w:r w:rsidRPr="002B4317">
              <w:t>ARTICLE INFO</w:t>
            </w:r>
          </w:p>
          <w:p w14:paraId="31BA2614" w14:textId="77777777" w:rsidR="00284444" w:rsidRPr="002B4317" w:rsidRDefault="00373A35" w:rsidP="005E10ED">
            <w:pPr>
              <w:pStyle w:val="Ventura-Keyword"/>
              <w:rPr>
                <w:b/>
                <w:bCs/>
              </w:rPr>
            </w:pPr>
            <w:r w:rsidRPr="002B4317">
              <w:rPr>
                <w:b/>
                <w:bCs/>
              </w:rPr>
              <w:t>Article history:</w:t>
            </w:r>
          </w:p>
          <w:p w14:paraId="4D53969F" w14:textId="77777777" w:rsidR="00284444" w:rsidRPr="002B4317" w:rsidRDefault="00373A35" w:rsidP="000B0B83">
            <w:pPr>
              <w:pStyle w:val="StyleVentura-KeywordNotItalic"/>
            </w:pPr>
            <w:r w:rsidRPr="002B4317">
              <w:t xml:space="preserve">Received </w:t>
            </w:r>
          </w:p>
          <w:p w14:paraId="1AC624EF" w14:textId="77777777" w:rsidR="00284444" w:rsidRPr="002B4317" w:rsidRDefault="00373A35" w:rsidP="000B0B83">
            <w:pPr>
              <w:pStyle w:val="StyleVentura-KeywordNotItalic"/>
            </w:pPr>
            <w:r w:rsidRPr="002B4317">
              <w:t xml:space="preserve">Revised </w:t>
            </w:r>
          </w:p>
          <w:p w14:paraId="3E83B021" w14:textId="77777777" w:rsidR="00284444" w:rsidRPr="002B4317" w:rsidRDefault="00373A35" w:rsidP="000B0B83">
            <w:pPr>
              <w:pStyle w:val="StyleVentura-KeywordNotItalic"/>
            </w:pPr>
            <w:r w:rsidRPr="002B4317">
              <w:t xml:space="preserve">Accepted </w:t>
            </w:r>
          </w:p>
          <w:p w14:paraId="5D08AA84" w14:textId="77777777" w:rsidR="00284444" w:rsidRPr="002B4317" w:rsidRDefault="00284444" w:rsidP="005E10ED">
            <w:pPr>
              <w:pStyle w:val="StyleVentura-KeywordNotItalic"/>
            </w:pPr>
          </w:p>
          <w:p w14:paraId="30828390" w14:textId="77777777" w:rsidR="00284444" w:rsidRPr="002B4317" w:rsidRDefault="00373A35" w:rsidP="005E10ED">
            <w:pPr>
              <w:pStyle w:val="Ventura-Keyword"/>
              <w:rPr>
                <w:b/>
                <w:bCs/>
              </w:rPr>
            </w:pPr>
            <w:r w:rsidRPr="002B4317">
              <w:rPr>
                <w:b/>
                <w:bCs/>
              </w:rPr>
              <w:t>JEL Classification:</w:t>
            </w:r>
          </w:p>
          <w:p w14:paraId="19FDFD96" w14:textId="77777777" w:rsidR="00284444" w:rsidRPr="005622FA" w:rsidRDefault="00284444" w:rsidP="005622FA">
            <w:pPr>
              <w:pStyle w:val="StyleVentura-KeywordNotItalic"/>
            </w:pPr>
          </w:p>
          <w:p w14:paraId="3FF627E7" w14:textId="77777777" w:rsidR="00284444" w:rsidRPr="002B4317" w:rsidRDefault="00284444" w:rsidP="005E10ED">
            <w:pPr>
              <w:pStyle w:val="StyleVentura-KeywordNotItalic"/>
            </w:pPr>
          </w:p>
          <w:p w14:paraId="61659C89" w14:textId="77777777" w:rsidR="00284444" w:rsidRPr="002B4317" w:rsidRDefault="00373A35" w:rsidP="005E10ED">
            <w:pPr>
              <w:pStyle w:val="Ventura-Keyword"/>
            </w:pPr>
            <w:r w:rsidRPr="002B4317">
              <w:rPr>
                <w:rStyle w:val="StyleVentura-KeywordLatinBoldChar"/>
              </w:rPr>
              <w:t>Keywords:</w:t>
            </w:r>
            <w:r w:rsidRPr="002B4317">
              <w:t xml:space="preserve"> </w:t>
            </w:r>
          </w:p>
          <w:p w14:paraId="123328E3" w14:textId="77777777" w:rsidR="000B0B83" w:rsidRDefault="00373A35" w:rsidP="00952F9A">
            <w:pPr>
              <w:pStyle w:val="StyleVentura-KeywordNotItalic"/>
            </w:pPr>
            <w:r>
              <w:t>Two until five,</w:t>
            </w:r>
          </w:p>
          <w:p w14:paraId="4FB43C45" w14:textId="77777777" w:rsidR="00284444" w:rsidRPr="002B4317" w:rsidRDefault="00373A35" w:rsidP="00663AD2">
            <w:pPr>
              <w:pStyle w:val="StyleVentura-KeywordNotItalic"/>
            </w:pPr>
            <w:r w:rsidRPr="000B0B83">
              <w:t>Keywords</w:t>
            </w:r>
            <w:r w:rsidRPr="002B4317">
              <w:t>.</w:t>
            </w:r>
          </w:p>
          <w:p w14:paraId="5078F88F" w14:textId="77777777" w:rsidR="00284444" w:rsidRPr="002B4317" w:rsidRDefault="00284444" w:rsidP="005E10ED">
            <w:pPr>
              <w:pStyle w:val="Ventura-Abstract"/>
              <w:rPr>
                <w:i w:val="0"/>
                <w:iCs/>
              </w:rPr>
            </w:pPr>
          </w:p>
          <w:p w14:paraId="4BE46974" w14:textId="77777777" w:rsidR="00284444" w:rsidRPr="002B4317" w:rsidRDefault="00373A35" w:rsidP="005E10ED">
            <w:pPr>
              <w:pStyle w:val="Ventura-Keyword"/>
              <w:rPr>
                <w:b/>
                <w:bCs/>
              </w:rPr>
            </w:pPr>
            <w:r w:rsidRPr="002B4317">
              <w:rPr>
                <w:b/>
                <w:bCs/>
              </w:rPr>
              <w:t>DOI:</w:t>
            </w:r>
          </w:p>
          <w:p w14:paraId="14AE6960" w14:textId="77777777" w:rsidR="00284444" w:rsidRPr="002B4317" w:rsidRDefault="00373A35" w:rsidP="00663AD2">
            <w:pPr>
              <w:pStyle w:val="Ventura-Keyword"/>
            </w:pPr>
            <w:r w:rsidRPr="002B4317">
              <w:t>10.14414/</w:t>
            </w:r>
            <w:proofErr w:type="spellStart"/>
            <w:r w:rsidRPr="002B4317">
              <w:t>jebav</w:t>
            </w:r>
            <w:proofErr w:type="spellEnd"/>
            <w:r w:rsidRPr="002B4317">
              <w:t>.</w:t>
            </w:r>
          </w:p>
        </w:tc>
        <w:tc>
          <w:tcPr>
            <w:tcW w:w="294" w:type="dxa"/>
          </w:tcPr>
          <w:p w14:paraId="020D4060" w14:textId="77777777" w:rsidR="00284444" w:rsidRPr="002B4317" w:rsidRDefault="00284444" w:rsidP="005E10ED">
            <w:pPr>
              <w:pStyle w:val="Ventura-AbstractTitle"/>
            </w:pPr>
          </w:p>
        </w:tc>
        <w:tc>
          <w:tcPr>
            <w:tcW w:w="6274" w:type="dxa"/>
          </w:tcPr>
          <w:p w14:paraId="516B54B4" w14:textId="77777777" w:rsidR="00284444" w:rsidRPr="002B4317" w:rsidRDefault="00373A35" w:rsidP="005E10ED">
            <w:pPr>
              <w:pStyle w:val="Ventura-AbstractTitle"/>
            </w:pPr>
            <w:r w:rsidRPr="002B4317">
              <w:t>ABSTRACT</w:t>
            </w:r>
          </w:p>
          <w:p w14:paraId="1D9D4F38" w14:textId="77777777" w:rsidR="00284444" w:rsidRPr="002B4317" w:rsidRDefault="00373A35" w:rsidP="005E10ED">
            <w:pPr>
              <w:pStyle w:val="Ventura-Abstract"/>
            </w:pPr>
            <w:r w:rsidRPr="005B63CB">
              <w:t>ICSR is a</w:t>
            </w:r>
            <w:r w:rsidR="00D65EC8" w:rsidRPr="00241897">
              <w:t xml:space="preserve"> corporate practice as a form of corporate responsibility to the community and the environment based on sharia. The company's CSR activities illustrate that the company in addition to carrying out its operational activities is also responsible for the surrounding environment. This sharia-based social performance reporting is assessed based on the sharia index developed from AAOFI (Accounting and Auditing Organization for Islamic Financial Institutions). The purpose of this study was to determine the effect of public share ownership, firm size, leverage, profitability, and corporate governance on the disclosure of Islamic Corporate Social Responsibility (ICSR). The </w:t>
            </w:r>
            <w:r w:rsidRPr="005B63CB">
              <w:t>sample</w:t>
            </w:r>
            <w:r w:rsidR="00D65EC8" w:rsidRPr="00241897">
              <w:t xml:space="preserve"> in this </w:t>
            </w:r>
            <w:r w:rsidRPr="005B63CB">
              <w:t xml:space="preserve">research is a </w:t>
            </w:r>
            <w:r w:rsidR="00D65EC8" w:rsidRPr="00241897">
              <w:t xml:space="preserve">sharia </w:t>
            </w:r>
            <w:r w:rsidRPr="005B63CB">
              <w:t>company</w:t>
            </w:r>
            <w:r w:rsidR="00D65EC8" w:rsidRPr="00241897">
              <w:t xml:space="preserve"> registered on the Jakarta Islamic Index (JII) for the 2015-2020 </w:t>
            </w:r>
            <w:r w:rsidRPr="005B63CB">
              <w:t>period</w:t>
            </w:r>
            <w:r w:rsidR="00D65EC8" w:rsidRPr="00241897">
              <w:t xml:space="preserve"> using a purposive sampling technique with a sample size of 12. The data were analyzed using panel data regression analysis through the </w:t>
            </w:r>
            <w:r w:rsidRPr="005B63CB">
              <w:t>views</w:t>
            </w:r>
            <w:r w:rsidR="00D65EC8" w:rsidRPr="00241897">
              <w:t xml:space="preserve"> 11 application. The results showed that the variable Public Share Ownership, Company Size, and Profitability affect </w:t>
            </w:r>
            <w:r w:rsidRPr="005B63CB">
              <w:t xml:space="preserve">the </w:t>
            </w:r>
            <w:r w:rsidR="00D65EC8" w:rsidRPr="00241897">
              <w:t>Disclosure</w:t>
            </w:r>
            <w:r w:rsidRPr="005B63CB">
              <w:t xml:space="preserve"> of Islamic Corporate Social Responsibility (ICSR),</w:t>
            </w:r>
            <w:r w:rsidR="00D65EC8" w:rsidRPr="00241897">
              <w:t xml:space="preserve"> while </w:t>
            </w:r>
            <w:r w:rsidRPr="005B63CB">
              <w:t xml:space="preserve">the </w:t>
            </w:r>
            <w:r w:rsidR="00D65EC8" w:rsidRPr="00241897">
              <w:t xml:space="preserve">leverage and corporate governance variables </w:t>
            </w:r>
            <w:r w:rsidRPr="005B63CB">
              <w:t>do not affect the disclosure of</w:t>
            </w:r>
            <w:r w:rsidR="00D65EC8" w:rsidRPr="00241897">
              <w:t xml:space="preserve"> Islamic Corporate Social Responsibility (ICSR</w:t>
            </w:r>
            <w:r w:rsidRPr="005B63CB">
              <w:t>). With this result, it is hoped that it can encourage</w:t>
            </w:r>
            <w:r w:rsidR="00D65EC8" w:rsidRPr="00311D01">
              <w:t xml:space="preserve"> Islamic companies in implementing CSR based on sharia principles in more depth to maintain the company's image.</w:t>
            </w:r>
          </w:p>
        </w:tc>
      </w:tr>
      <w:tr w:rsidR="003916FC" w14:paraId="1DAD68C3" w14:textId="77777777" w:rsidTr="00E03BC6">
        <w:trPr>
          <w:jc w:val="center"/>
        </w:trPr>
        <w:tc>
          <w:tcPr>
            <w:tcW w:w="2977" w:type="dxa"/>
            <w:vMerge/>
          </w:tcPr>
          <w:p w14:paraId="67CDCF31" w14:textId="77777777" w:rsidR="00284444" w:rsidRPr="002B4317" w:rsidRDefault="00284444" w:rsidP="005E10ED">
            <w:pPr>
              <w:pStyle w:val="Ventura-AbstractTitle"/>
            </w:pPr>
          </w:p>
        </w:tc>
        <w:tc>
          <w:tcPr>
            <w:tcW w:w="294" w:type="dxa"/>
          </w:tcPr>
          <w:p w14:paraId="5D927E7D" w14:textId="77777777" w:rsidR="00284444" w:rsidRPr="002B4317" w:rsidRDefault="00284444" w:rsidP="005E10ED">
            <w:pPr>
              <w:pStyle w:val="Ventura-AbstractTitle"/>
            </w:pPr>
          </w:p>
        </w:tc>
        <w:tc>
          <w:tcPr>
            <w:tcW w:w="6274" w:type="dxa"/>
          </w:tcPr>
          <w:p w14:paraId="580B6CA2" w14:textId="77777777" w:rsidR="009939C4" w:rsidRPr="002B4317" w:rsidRDefault="00373A35" w:rsidP="005E10ED">
            <w:pPr>
              <w:pStyle w:val="Ventura-AbstractTitle"/>
            </w:pPr>
            <w:r w:rsidRPr="002B4317">
              <w:t>ABSTRAK</w:t>
            </w:r>
          </w:p>
          <w:p w14:paraId="495359EB" w14:textId="77777777" w:rsidR="00284444" w:rsidRPr="002B4317" w:rsidRDefault="00373A35" w:rsidP="005E10ED">
            <w:pPr>
              <w:pStyle w:val="Ventura-Abstract"/>
              <w:rPr>
                <w:spacing w:val="0"/>
              </w:rPr>
            </w:pPr>
            <w:r w:rsidRPr="00827D4B">
              <w:t>I</w:t>
            </w:r>
            <w:r>
              <w:t>CSR</w:t>
            </w:r>
            <w:r w:rsidR="00D65EC8" w:rsidRPr="00827D4B">
              <w:t xml:space="preserve"> </w:t>
            </w:r>
            <w:proofErr w:type="spellStart"/>
            <w:r w:rsidR="00D65EC8" w:rsidRPr="00827D4B">
              <w:t>merupakan</w:t>
            </w:r>
            <w:proofErr w:type="spellEnd"/>
            <w:r w:rsidR="00D65EC8" w:rsidRPr="00827D4B">
              <w:t xml:space="preserve"> </w:t>
            </w:r>
            <w:proofErr w:type="spellStart"/>
            <w:r w:rsidR="00D65EC8" w:rsidRPr="00827D4B">
              <w:t>amalan</w:t>
            </w:r>
            <w:proofErr w:type="spellEnd"/>
            <w:r w:rsidR="00D65EC8" w:rsidRPr="00827D4B">
              <w:t xml:space="preserve"> </w:t>
            </w:r>
            <w:proofErr w:type="spellStart"/>
            <w:r w:rsidR="00D65EC8" w:rsidRPr="00827D4B">
              <w:t>perusahaan</w:t>
            </w:r>
            <w:proofErr w:type="spellEnd"/>
            <w:r w:rsidR="00D65EC8" w:rsidRPr="00827D4B">
              <w:t xml:space="preserve"> </w:t>
            </w:r>
            <w:proofErr w:type="spellStart"/>
            <w:r w:rsidR="00D65EC8" w:rsidRPr="00827D4B">
              <w:t>sebagai</w:t>
            </w:r>
            <w:proofErr w:type="spellEnd"/>
            <w:r w:rsidR="00D65EC8" w:rsidRPr="00827D4B">
              <w:t xml:space="preserve"> </w:t>
            </w:r>
            <w:proofErr w:type="spellStart"/>
            <w:r>
              <w:t>wujud</w:t>
            </w:r>
            <w:proofErr w:type="spellEnd"/>
            <w:r w:rsidR="00D65EC8" w:rsidRPr="00827D4B">
              <w:t xml:space="preserve"> </w:t>
            </w:r>
            <w:proofErr w:type="spellStart"/>
            <w:r w:rsidR="00D65EC8" w:rsidRPr="00827D4B">
              <w:t>tanggung</w:t>
            </w:r>
            <w:proofErr w:type="spellEnd"/>
            <w:r w:rsidR="00D65EC8" w:rsidRPr="00827D4B">
              <w:t xml:space="preserve"> </w:t>
            </w:r>
            <w:proofErr w:type="spellStart"/>
            <w:r w:rsidR="00D65EC8" w:rsidRPr="00827D4B">
              <w:t>jawab</w:t>
            </w:r>
            <w:proofErr w:type="spellEnd"/>
            <w:r w:rsidR="00D65EC8" w:rsidRPr="00827D4B">
              <w:t xml:space="preserve"> </w:t>
            </w:r>
            <w:proofErr w:type="spellStart"/>
            <w:r w:rsidR="00D65EC8" w:rsidRPr="00827D4B">
              <w:t>perseroan</w:t>
            </w:r>
            <w:proofErr w:type="spellEnd"/>
            <w:r w:rsidR="00D65EC8" w:rsidRPr="00827D4B">
              <w:t xml:space="preserve"> </w:t>
            </w:r>
            <w:proofErr w:type="spellStart"/>
            <w:r w:rsidR="00D65EC8" w:rsidRPr="00827D4B">
              <w:t>kepada</w:t>
            </w:r>
            <w:proofErr w:type="spellEnd"/>
            <w:r w:rsidR="00D65EC8" w:rsidRPr="00827D4B">
              <w:t xml:space="preserve"> </w:t>
            </w:r>
            <w:proofErr w:type="spellStart"/>
            <w:r w:rsidR="00D65EC8" w:rsidRPr="00827D4B">
              <w:t>masyarakat</w:t>
            </w:r>
            <w:proofErr w:type="spellEnd"/>
            <w:r w:rsidR="00D65EC8" w:rsidRPr="00827D4B">
              <w:t xml:space="preserve"> dan </w:t>
            </w:r>
            <w:proofErr w:type="spellStart"/>
            <w:r w:rsidR="00D65EC8" w:rsidRPr="00827D4B">
              <w:t>lingkungan</w:t>
            </w:r>
            <w:proofErr w:type="spellEnd"/>
            <w:r w:rsidR="00D65EC8" w:rsidRPr="00827D4B">
              <w:t xml:space="preserve"> </w:t>
            </w:r>
            <w:proofErr w:type="spellStart"/>
            <w:r w:rsidR="00D65EC8" w:rsidRPr="00827D4B">
              <w:t>sekitar</w:t>
            </w:r>
            <w:proofErr w:type="spellEnd"/>
            <w:r w:rsidR="00D65EC8" w:rsidRPr="00827D4B">
              <w:t xml:space="preserve"> </w:t>
            </w:r>
            <w:proofErr w:type="spellStart"/>
            <w:r w:rsidR="00D65EC8" w:rsidRPr="00827D4B">
              <w:t>berbasis</w:t>
            </w:r>
            <w:proofErr w:type="spellEnd"/>
            <w:r w:rsidR="00D65EC8" w:rsidRPr="00827D4B">
              <w:t xml:space="preserve"> </w:t>
            </w:r>
            <w:proofErr w:type="spellStart"/>
            <w:r w:rsidR="00D65EC8" w:rsidRPr="00827D4B">
              <w:t>syariah</w:t>
            </w:r>
            <w:proofErr w:type="spellEnd"/>
            <w:r w:rsidR="00D65EC8" w:rsidRPr="00827D4B">
              <w:t xml:space="preserve">. </w:t>
            </w:r>
            <w:proofErr w:type="spellStart"/>
            <w:r w:rsidR="00D65EC8">
              <w:t>Kegiatan</w:t>
            </w:r>
            <w:proofErr w:type="spellEnd"/>
            <w:r w:rsidR="00D65EC8">
              <w:t xml:space="preserve"> CSR </w:t>
            </w:r>
            <w:proofErr w:type="spellStart"/>
            <w:r w:rsidR="00D65EC8">
              <w:t>perusahaan</w:t>
            </w:r>
            <w:proofErr w:type="spellEnd"/>
            <w:r w:rsidR="00D65EC8">
              <w:t xml:space="preserve"> </w:t>
            </w:r>
            <w:proofErr w:type="spellStart"/>
            <w:r w:rsidR="00D65EC8">
              <w:t>memberikan</w:t>
            </w:r>
            <w:proofErr w:type="spellEnd"/>
            <w:r w:rsidR="00D65EC8">
              <w:t xml:space="preserve"> </w:t>
            </w:r>
            <w:proofErr w:type="spellStart"/>
            <w:r w:rsidR="00D65EC8">
              <w:t>gambaran</w:t>
            </w:r>
            <w:proofErr w:type="spellEnd"/>
            <w:r w:rsidR="00D65EC8">
              <w:t xml:space="preserve"> </w:t>
            </w:r>
            <w:proofErr w:type="spellStart"/>
            <w:r w:rsidR="00D65EC8">
              <w:t>bahwa</w:t>
            </w:r>
            <w:proofErr w:type="spellEnd"/>
            <w:r w:rsidR="00D65EC8">
              <w:t xml:space="preserve"> </w:t>
            </w:r>
            <w:proofErr w:type="spellStart"/>
            <w:r w:rsidR="00D65EC8">
              <w:t>perusahaan</w:t>
            </w:r>
            <w:proofErr w:type="spellEnd"/>
            <w:r w:rsidR="00D65EC8">
              <w:t xml:space="preserve"> </w:t>
            </w:r>
            <w:proofErr w:type="spellStart"/>
            <w:r w:rsidR="00D65EC8">
              <w:t>selain</w:t>
            </w:r>
            <w:proofErr w:type="spellEnd"/>
            <w:r w:rsidR="00D65EC8">
              <w:t xml:space="preserve"> </w:t>
            </w:r>
            <w:proofErr w:type="spellStart"/>
            <w:r w:rsidR="00D65EC8">
              <w:t>menjanlankan</w:t>
            </w:r>
            <w:proofErr w:type="spellEnd"/>
            <w:r w:rsidR="00D65EC8">
              <w:t xml:space="preserve"> </w:t>
            </w:r>
            <w:proofErr w:type="spellStart"/>
            <w:r w:rsidR="00D65EC8">
              <w:t>kegiatan</w:t>
            </w:r>
            <w:proofErr w:type="spellEnd"/>
            <w:r w:rsidR="00D65EC8">
              <w:t xml:space="preserve"> </w:t>
            </w:r>
            <w:proofErr w:type="spellStart"/>
            <w:r w:rsidR="00D65EC8">
              <w:t>operasionalnya</w:t>
            </w:r>
            <w:proofErr w:type="spellEnd"/>
            <w:r w:rsidR="00D65EC8">
              <w:t xml:space="preserve"> juga </w:t>
            </w:r>
            <w:proofErr w:type="spellStart"/>
            <w:r w:rsidR="00D65EC8">
              <w:t>tetap</w:t>
            </w:r>
            <w:proofErr w:type="spellEnd"/>
            <w:r w:rsidR="00D65EC8">
              <w:t xml:space="preserve"> </w:t>
            </w:r>
            <w:proofErr w:type="spellStart"/>
            <w:r w:rsidR="00D65EC8">
              <w:t>bertanggungjawab</w:t>
            </w:r>
            <w:proofErr w:type="spellEnd"/>
            <w:r w:rsidR="00D65EC8">
              <w:t xml:space="preserve"> </w:t>
            </w:r>
            <w:proofErr w:type="spellStart"/>
            <w:r w:rsidR="00D65EC8">
              <w:t>terhadap</w:t>
            </w:r>
            <w:proofErr w:type="spellEnd"/>
            <w:r w:rsidR="00D65EC8">
              <w:t xml:space="preserve"> </w:t>
            </w:r>
            <w:proofErr w:type="spellStart"/>
            <w:r w:rsidR="00D65EC8">
              <w:t>lingkungan</w:t>
            </w:r>
            <w:proofErr w:type="spellEnd"/>
            <w:r w:rsidR="00D65EC8">
              <w:t xml:space="preserve"> </w:t>
            </w:r>
            <w:proofErr w:type="spellStart"/>
            <w:r w:rsidR="00D65EC8">
              <w:t>sekitar</w:t>
            </w:r>
            <w:proofErr w:type="spellEnd"/>
            <w:r w:rsidR="00D65EC8">
              <w:t xml:space="preserve">. </w:t>
            </w:r>
            <w:proofErr w:type="spellStart"/>
            <w:r w:rsidR="00D65EC8" w:rsidRPr="00827D4B">
              <w:t>Pelaporan</w:t>
            </w:r>
            <w:proofErr w:type="spellEnd"/>
            <w:r w:rsidR="00D65EC8" w:rsidRPr="00827D4B">
              <w:t xml:space="preserve"> </w:t>
            </w:r>
            <w:proofErr w:type="spellStart"/>
            <w:r w:rsidR="00D65EC8" w:rsidRPr="00827D4B">
              <w:t>kinerja</w:t>
            </w:r>
            <w:proofErr w:type="spellEnd"/>
            <w:r w:rsidR="00D65EC8" w:rsidRPr="00827D4B">
              <w:t xml:space="preserve"> </w:t>
            </w:r>
            <w:proofErr w:type="spellStart"/>
            <w:r w:rsidR="00D65EC8" w:rsidRPr="00827D4B">
              <w:t>sosial</w:t>
            </w:r>
            <w:proofErr w:type="spellEnd"/>
            <w:r w:rsidR="00D65EC8" w:rsidRPr="00827D4B">
              <w:t xml:space="preserve"> </w:t>
            </w:r>
            <w:proofErr w:type="spellStart"/>
            <w:r w:rsidR="00D65EC8" w:rsidRPr="00827D4B">
              <w:t>berbasis</w:t>
            </w:r>
            <w:proofErr w:type="spellEnd"/>
            <w:r w:rsidR="00D65EC8" w:rsidRPr="00827D4B">
              <w:t xml:space="preserve"> </w:t>
            </w:r>
            <w:proofErr w:type="spellStart"/>
            <w:r w:rsidR="00D65EC8" w:rsidRPr="00827D4B">
              <w:t>syariah</w:t>
            </w:r>
            <w:proofErr w:type="spellEnd"/>
            <w:r w:rsidR="00D65EC8" w:rsidRPr="00827D4B">
              <w:t xml:space="preserve"> </w:t>
            </w:r>
            <w:proofErr w:type="spellStart"/>
            <w:r w:rsidR="00D65EC8" w:rsidRPr="00827D4B">
              <w:t>ini</w:t>
            </w:r>
            <w:proofErr w:type="spellEnd"/>
            <w:r w:rsidR="00D65EC8" w:rsidRPr="00827D4B">
              <w:t xml:space="preserve"> </w:t>
            </w:r>
            <w:proofErr w:type="spellStart"/>
            <w:r w:rsidR="00D65EC8" w:rsidRPr="00827D4B">
              <w:t>dinilai</w:t>
            </w:r>
            <w:proofErr w:type="spellEnd"/>
            <w:r w:rsidR="00D65EC8" w:rsidRPr="00827D4B">
              <w:t xml:space="preserve"> </w:t>
            </w:r>
            <w:proofErr w:type="spellStart"/>
            <w:r w:rsidR="00D65EC8" w:rsidRPr="00827D4B">
              <w:t>berdasarkan</w:t>
            </w:r>
            <w:proofErr w:type="spellEnd"/>
            <w:r w:rsidR="00D65EC8" w:rsidRPr="00827D4B">
              <w:t xml:space="preserve"> </w:t>
            </w:r>
            <w:proofErr w:type="spellStart"/>
            <w:r w:rsidR="00D65EC8" w:rsidRPr="00827D4B">
              <w:t>indeks</w:t>
            </w:r>
            <w:proofErr w:type="spellEnd"/>
            <w:r w:rsidR="00D65EC8" w:rsidRPr="00827D4B">
              <w:t xml:space="preserve"> </w:t>
            </w:r>
            <w:proofErr w:type="spellStart"/>
            <w:r w:rsidR="00D65EC8" w:rsidRPr="00827D4B">
              <w:t>syariah</w:t>
            </w:r>
            <w:proofErr w:type="spellEnd"/>
            <w:r w:rsidR="00D65EC8" w:rsidRPr="00827D4B">
              <w:t xml:space="preserve"> yang </w:t>
            </w:r>
            <w:proofErr w:type="spellStart"/>
            <w:r w:rsidR="00D65EC8" w:rsidRPr="00827D4B">
              <w:t>dikembangkan</w:t>
            </w:r>
            <w:proofErr w:type="spellEnd"/>
            <w:r w:rsidR="00D65EC8" w:rsidRPr="00827D4B">
              <w:t xml:space="preserve"> </w:t>
            </w:r>
            <w:proofErr w:type="spellStart"/>
            <w:r w:rsidR="00D65EC8" w:rsidRPr="00827D4B">
              <w:t>dari</w:t>
            </w:r>
            <w:proofErr w:type="spellEnd"/>
            <w:r w:rsidR="00D65EC8" w:rsidRPr="00827D4B">
              <w:t xml:space="preserve"> AAOFI (</w:t>
            </w:r>
            <w:r w:rsidR="00D65EC8" w:rsidRPr="00827D4B">
              <w:rPr>
                <w:iCs/>
              </w:rPr>
              <w:t xml:space="preserve">Accounting and Auditing Organization for Islamic Financial </w:t>
            </w:r>
            <w:proofErr w:type="spellStart"/>
            <w:r w:rsidR="00D65EC8" w:rsidRPr="00827D4B">
              <w:rPr>
                <w:iCs/>
              </w:rPr>
              <w:t>Institusions</w:t>
            </w:r>
            <w:proofErr w:type="spellEnd"/>
            <w:r w:rsidR="00D65EC8" w:rsidRPr="00827D4B">
              <w:t xml:space="preserve">). </w:t>
            </w:r>
            <w:proofErr w:type="spellStart"/>
            <w:r w:rsidR="00D65EC8" w:rsidRPr="00827D4B">
              <w:t>Tujuan</w:t>
            </w:r>
            <w:proofErr w:type="spellEnd"/>
            <w:r w:rsidR="00D65EC8" w:rsidRPr="00827D4B">
              <w:t xml:space="preserve"> </w:t>
            </w:r>
            <w:proofErr w:type="spellStart"/>
            <w:r w:rsidR="00D65EC8" w:rsidRPr="00827D4B">
              <w:t>penelitian</w:t>
            </w:r>
            <w:proofErr w:type="spellEnd"/>
            <w:r w:rsidR="00D65EC8" w:rsidRPr="00827D4B">
              <w:t xml:space="preserve"> </w:t>
            </w:r>
            <w:proofErr w:type="spellStart"/>
            <w:r w:rsidR="00D65EC8" w:rsidRPr="00827D4B">
              <w:t>ini</w:t>
            </w:r>
            <w:proofErr w:type="spellEnd"/>
            <w:r w:rsidR="00D65EC8" w:rsidRPr="00827D4B">
              <w:t xml:space="preserve"> </w:t>
            </w:r>
            <w:proofErr w:type="spellStart"/>
            <w:r w:rsidR="00D65EC8" w:rsidRPr="00827D4B">
              <w:t>adalah</w:t>
            </w:r>
            <w:proofErr w:type="spellEnd"/>
            <w:r w:rsidR="00D65EC8" w:rsidRPr="00827D4B">
              <w:t xml:space="preserve"> </w:t>
            </w:r>
            <w:proofErr w:type="spellStart"/>
            <w:r w:rsidR="00D65EC8" w:rsidRPr="00827D4B">
              <w:t>untuk</w:t>
            </w:r>
            <w:proofErr w:type="spellEnd"/>
            <w:r w:rsidR="00D65EC8" w:rsidRPr="00827D4B">
              <w:t xml:space="preserve"> </w:t>
            </w:r>
            <w:proofErr w:type="spellStart"/>
            <w:r w:rsidR="00D65EC8" w:rsidRPr="00827D4B">
              <w:t>mengetahui</w:t>
            </w:r>
            <w:proofErr w:type="spellEnd"/>
            <w:r w:rsidR="00D65EC8" w:rsidRPr="00827D4B">
              <w:t xml:space="preserve"> </w:t>
            </w:r>
            <w:proofErr w:type="spellStart"/>
            <w:r w:rsidR="00D65EC8" w:rsidRPr="00827D4B">
              <w:t>pengaruh</w:t>
            </w:r>
            <w:proofErr w:type="spellEnd"/>
            <w:r w:rsidR="00D65EC8" w:rsidRPr="00827D4B">
              <w:t xml:space="preserve"> </w:t>
            </w:r>
            <w:proofErr w:type="spellStart"/>
            <w:r w:rsidR="00D65EC8" w:rsidRPr="00827D4B">
              <w:t>kepemilikan</w:t>
            </w:r>
            <w:proofErr w:type="spellEnd"/>
            <w:r w:rsidR="00D65EC8" w:rsidRPr="00827D4B">
              <w:t xml:space="preserve"> </w:t>
            </w:r>
            <w:proofErr w:type="spellStart"/>
            <w:r w:rsidR="00D65EC8" w:rsidRPr="00827D4B">
              <w:t>saham</w:t>
            </w:r>
            <w:proofErr w:type="spellEnd"/>
            <w:r w:rsidR="00D65EC8" w:rsidRPr="00827D4B">
              <w:t xml:space="preserve"> </w:t>
            </w:r>
            <w:proofErr w:type="spellStart"/>
            <w:r w:rsidR="00D65EC8" w:rsidRPr="00827D4B">
              <w:t>publik</w:t>
            </w:r>
            <w:proofErr w:type="spellEnd"/>
            <w:r w:rsidR="00D65EC8" w:rsidRPr="00827D4B">
              <w:t xml:space="preserve">, </w:t>
            </w:r>
            <w:proofErr w:type="spellStart"/>
            <w:r w:rsidR="00D65EC8" w:rsidRPr="00827D4B">
              <w:t>ukuran</w:t>
            </w:r>
            <w:proofErr w:type="spellEnd"/>
            <w:r w:rsidR="00D65EC8" w:rsidRPr="00827D4B">
              <w:t xml:space="preserve"> </w:t>
            </w:r>
            <w:proofErr w:type="spellStart"/>
            <w:r w:rsidR="00D65EC8" w:rsidRPr="00827D4B">
              <w:t>perusahaan</w:t>
            </w:r>
            <w:proofErr w:type="spellEnd"/>
            <w:r w:rsidR="00D65EC8" w:rsidRPr="00827D4B">
              <w:t xml:space="preserve">, </w:t>
            </w:r>
            <w:r w:rsidR="00D65EC8" w:rsidRPr="00827D4B">
              <w:rPr>
                <w:iCs/>
              </w:rPr>
              <w:t>leverage</w:t>
            </w:r>
            <w:r w:rsidR="00D65EC8" w:rsidRPr="00827D4B">
              <w:t xml:space="preserve">, </w:t>
            </w:r>
            <w:proofErr w:type="spellStart"/>
            <w:r w:rsidR="00D65EC8" w:rsidRPr="00827D4B">
              <w:t>profitabilitas</w:t>
            </w:r>
            <w:proofErr w:type="spellEnd"/>
            <w:r w:rsidR="00D65EC8" w:rsidRPr="00827D4B">
              <w:t xml:space="preserve"> dan corporate governance </w:t>
            </w:r>
            <w:proofErr w:type="spellStart"/>
            <w:r w:rsidR="00D65EC8" w:rsidRPr="00827D4B">
              <w:t>terhadap</w:t>
            </w:r>
            <w:proofErr w:type="spellEnd"/>
            <w:r w:rsidR="00D65EC8" w:rsidRPr="00827D4B">
              <w:t xml:space="preserve"> </w:t>
            </w:r>
            <w:proofErr w:type="spellStart"/>
            <w:r w:rsidR="00D65EC8" w:rsidRPr="00827D4B">
              <w:t>pengungkapan</w:t>
            </w:r>
            <w:proofErr w:type="spellEnd"/>
            <w:r w:rsidR="00D65EC8" w:rsidRPr="00827D4B">
              <w:t xml:space="preserve"> </w:t>
            </w:r>
            <w:r w:rsidR="00D65EC8" w:rsidRPr="00827D4B">
              <w:rPr>
                <w:iCs/>
              </w:rPr>
              <w:t xml:space="preserve">Islamic Corporate Social Responsibility </w:t>
            </w:r>
            <w:r w:rsidR="00D65EC8" w:rsidRPr="00827D4B">
              <w:t xml:space="preserve">(ICSR). </w:t>
            </w:r>
            <w:proofErr w:type="spellStart"/>
            <w:r w:rsidR="00D65EC8" w:rsidRPr="00827D4B">
              <w:t>Sampel</w:t>
            </w:r>
            <w:proofErr w:type="spellEnd"/>
            <w:r w:rsidR="00D65EC8" w:rsidRPr="00827D4B">
              <w:t xml:space="preserve"> pada </w:t>
            </w:r>
            <w:proofErr w:type="spellStart"/>
            <w:r>
              <w:t>riset</w:t>
            </w:r>
            <w:proofErr w:type="spellEnd"/>
            <w:r w:rsidR="00D65EC8" w:rsidRPr="00827D4B">
              <w:t xml:space="preserve"> </w:t>
            </w:r>
            <w:proofErr w:type="spellStart"/>
            <w:r w:rsidR="00D65EC8" w:rsidRPr="00827D4B">
              <w:t>ini</w:t>
            </w:r>
            <w:proofErr w:type="spellEnd"/>
            <w:r w:rsidR="00D65EC8" w:rsidRPr="00827D4B">
              <w:t xml:space="preserve"> </w:t>
            </w:r>
            <w:proofErr w:type="spellStart"/>
            <w:r w:rsidR="00D65EC8" w:rsidRPr="00827D4B">
              <w:t>adalah</w:t>
            </w:r>
            <w:proofErr w:type="spellEnd"/>
            <w:r w:rsidR="00D65EC8" w:rsidRPr="00827D4B">
              <w:t xml:space="preserve"> </w:t>
            </w:r>
            <w:proofErr w:type="spellStart"/>
            <w:r w:rsidR="00D65EC8" w:rsidRPr="00827D4B">
              <w:t>perusahaan</w:t>
            </w:r>
            <w:proofErr w:type="spellEnd"/>
            <w:r w:rsidR="00D65EC8" w:rsidRPr="00827D4B">
              <w:t xml:space="preserve"> </w:t>
            </w:r>
            <w:proofErr w:type="spellStart"/>
            <w:r w:rsidR="00D65EC8" w:rsidRPr="00827D4B">
              <w:t>syariah</w:t>
            </w:r>
            <w:proofErr w:type="spellEnd"/>
            <w:r w:rsidR="00D65EC8" w:rsidRPr="00827D4B">
              <w:t xml:space="preserve"> yang </w:t>
            </w:r>
            <w:proofErr w:type="spellStart"/>
            <w:r w:rsidR="00D65EC8" w:rsidRPr="00827D4B">
              <w:t>terdaftar</w:t>
            </w:r>
            <w:proofErr w:type="spellEnd"/>
            <w:r w:rsidR="00D65EC8" w:rsidRPr="00827D4B">
              <w:t xml:space="preserve"> pada </w:t>
            </w:r>
            <w:r w:rsidR="00D65EC8" w:rsidRPr="00827D4B">
              <w:rPr>
                <w:iCs/>
              </w:rPr>
              <w:t xml:space="preserve">Jakarta Islamic </w:t>
            </w:r>
            <w:proofErr w:type="spellStart"/>
            <w:r w:rsidR="00D65EC8" w:rsidRPr="00827D4B">
              <w:rPr>
                <w:iCs/>
              </w:rPr>
              <w:t>Indeks</w:t>
            </w:r>
            <w:proofErr w:type="spellEnd"/>
            <w:r w:rsidR="00D65EC8" w:rsidRPr="00827D4B">
              <w:t xml:space="preserve"> (JII) </w:t>
            </w:r>
            <w:proofErr w:type="spellStart"/>
            <w:r w:rsidR="00D65EC8" w:rsidRPr="00827D4B">
              <w:t>periode</w:t>
            </w:r>
            <w:proofErr w:type="spellEnd"/>
            <w:r w:rsidR="00D65EC8" w:rsidRPr="00827D4B">
              <w:t xml:space="preserve"> 2015-2020 </w:t>
            </w:r>
            <w:proofErr w:type="spellStart"/>
            <w:r w:rsidR="00D65EC8">
              <w:t>dengan</w:t>
            </w:r>
            <w:proofErr w:type="spellEnd"/>
            <w:r w:rsidR="00D65EC8">
              <w:t xml:space="preserve"> </w:t>
            </w:r>
            <w:proofErr w:type="spellStart"/>
            <w:r w:rsidR="00D65EC8">
              <w:t>menggunakan</w:t>
            </w:r>
            <w:proofErr w:type="spellEnd"/>
            <w:r w:rsidR="00D65EC8">
              <w:t xml:space="preserve"> </w:t>
            </w:r>
            <w:proofErr w:type="spellStart"/>
            <w:r w:rsidR="00D65EC8">
              <w:t>teknik</w:t>
            </w:r>
            <w:proofErr w:type="spellEnd"/>
            <w:r w:rsidR="00D65EC8">
              <w:t xml:space="preserve"> </w:t>
            </w:r>
            <w:proofErr w:type="spellStart"/>
            <w:r w:rsidR="00D65EC8">
              <w:t>pengambilan</w:t>
            </w:r>
            <w:proofErr w:type="spellEnd"/>
            <w:r w:rsidR="00D65EC8">
              <w:t xml:space="preserve"> </w:t>
            </w:r>
            <w:proofErr w:type="spellStart"/>
            <w:r w:rsidR="00D65EC8">
              <w:t>sampel</w:t>
            </w:r>
            <w:proofErr w:type="spellEnd"/>
            <w:r w:rsidR="00D65EC8">
              <w:t xml:space="preserve"> </w:t>
            </w:r>
            <w:proofErr w:type="spellStart"/>
            <w:r w:rsidR="00D65EC8">
              <w:t>melalui</w:t>
            </w:r>
            <w:proofErr w:type="spellEnd"/>
            <w:r w:rsidR="00D65EC8">
              <w:t xml:space="preserve"> </w:t>
            </w:r>
            <w:r w:rsidR="00D65EC8" w:rsidRPr="00827D4B">
              <w:rPr>
                <w:iCs/>
              </w:rPr>
              <w:t>p</w:t>
            </w:r>
            <w:r w:rsidR="00D65EC8">
              <w:rPr>
                <w:iCs/>
              </w:rPr>
              <w:t xml:space="preserve">urposive </w:t>
            </w:r>
            <w:proofErr w:type="spellStart"/>
            <w:r w:rsidR="00D65EC8">
              <w:rPr>
                <w:iCs/>
              </w:rPr>
              <w:t>samping</w:t>
            </w:r>
            <w:proofErr w:type="spellEnd"/>
            <w:r w:rsidR="00D65EC8">
              <w:rPr>
                <w:iCs/>
              </w:rPr>
              <w:t xml:space="preserve"> </w:t>
            </w:r>
            <w:proofErr w:type="spellStart"/>
            <w:r w:rsidR="00D65EC8" w:rsidRPr="00827D4B">
              <w:rPr>
                <w:iCs/>
              </w:rPr>
              <w:t>dengan</w:t>
            </w:r>
            <w:proofErr w:type="spellEnd"/>
            <w:r w:rsidR="00D65EC8" w:rsidRPr="00827D4B">
              <w:t xml:space="preserve"> </w:t>
            </w:r>
            <w:proofErr w:type="spellStart"/>
            <w:r w:rsidR="00D65EC8" w:rsidRPr="00827D4B">
              <w:t>jumlah</w:t>
            </w:r>
            <w:proofErr w:type="spellEnd"/>
            <w:r w:rsidR="00D65EC8" w:rsidRPr="00827D4B">
              <w:t xml:space="preserve"> </w:t>
            </w:r>
            <w:proofErr w:type="spellStart"/>
            <w:r w:rsidR="00D65EC8" w:rsidRPr="00827D4B">
              <w:t>sampel</w:t>
            </w:r>
            <w:proofErr w:type="spellEnd"/>
            <w:r w:rsidR="00D65EC8" w:rsidRPr="00827D4B">
              <w:t xml:space="preserve"> 12. Data </w:t>
            </w:r>
            <w:proofErr w:type="spellStart"/>
            <w:r w:rsidR="00D65EC8" w:rsidRPr="00827D4B">
              <w:t>dianalisis</w:t>
            </w:r>
            <w:proofErr w:type="spellEnd"/>
            <w:r w:rsidR="00D65EC8" w:rsidRPr="00827D4B">
              <w:t xml:space="preserve"> </w:t>
            </w:r>
            <w:proofErr w:type="spellStart"/>
            <w:r w:rsidR="00D65EC8" w:rsidRPr="00827D4B">
              <w:t>menggunakan</w:t>
            </w:r>
            <w:proofErr w:type="spellEnd"/>
            <w:r w:rsidR="00D65EC8" w:rsidRPr="00827D4B">
              <w:t xml:space="preserve"> </w:t>
            </w:r>
            <w:proofErr w:type="spellStart"/>
            <w:r w:rsidR="00D65EC8" w:rsidRPr="00827D4B">
              <w:t>analisis</w:t>
            </w:r>
            <w:proofErr w:type="spellEnd"/>
            <w:r w:rsidR="00D65EC8" w:rsidRPr="00827D4B">
              <w:t xml:space="preserve"> </w:t>
            </w:r>
            <w:proofErr w:type="spellStart"/>
            <w:r w:rsidR="00D65EC8" w:rsidRPr="00827D4B">
              <w:t>regresi</w:t>
            </w:r>
            <w:proofErr w:type="spellEnd"/>
            <w:r w:rsidR="00D65EC8" w:rsidRPr="00827D4B">
              <w:t xml:space="preserve"> data panel </w:t>
            </w:r>
            <w:proofErr w:type="spellStart"/>
            <w:r w:rsidR="00D65EC8" w:rsidRPr="00827D4B">
              <w:t>melalui</w:t>
            </w:r>
            <w:proofErr w:type="spellEnd"/>
            <w:r w:rsidR="00D65EC8" w:rsidRPr="00827D4B">
              <w:t xml:space="preserve"> </w:t>
            </w:r>
            <w:proofErr w:type="spellStart"/>
            <w:r w:rsidR="00D65EC8" w:rsidRPr="00827D4B">
              <w:t>aplikasi</w:t>
            </w:r>
            <w:proofErr w:type="spellEnd"/>
            <w:r w:rsidR="00D65EC8" w:rsidRPr="00827D4B">
              <w:t xml:space="preserve"> </w:t>
            </w:r>
            <w:proofErr w:type="spellStart"/>
            <w:r w:rsidR="00D65EC8" w:rsidRPr="00827D4B">
              <w:t>eviews</w:t>
            </w:r>
            <w:proofErr w:type="spellEnd"/>
            <w:r w:rsidR="00D65EC8" w:rsidRPr="00827D4B">
              <w:t xml:space="preserve"> 11. Hasil </w:t>
            </w:r>
            <w:proofErr w:type="spellStart"/>
            <w:r w:rsidR="00D65EC8" w:rsidRPr="00827D4B">
              <w:t>penelitian</w:t>
            </w:r>
            <w:proofErr w:type="spellEnd"/>
            <w:r w:rsidR="00D65EC8" w:rsidRPr="00827D4B">
              <w:t xml:space="preserve"> </w:t>
            </w:r>
            <w:proofErr w:type="spellStart"/>
            <w:r w:rsidR="00D65EC8" w:rsidRPr="00827D4B">
              <w:t>menunjukkan</w:t>
            </w:r>
            <w:proofErr w:type="spellEnd"/>
            <w:r w:rsidR="00D65EC8" w:rsidRPr="00827D4B">
              <w:t xml:space="preserve"> </w:t>
            </w:r>
            <w:proofErr w:type="spellStart"/>
            <w:r w:rsidR="00D65EC8" w:rsidRPr="00827D4B">
              <w:t>bahwa</w:t>
            </w:r>
            <w:proofErr w:type="spellEnd"/>
            <w:r w:rsidR="00D65EC8" w:rsidRPr="00827D4B">
              <w:t xml:space="preserve"> </w:t>
            </w:r>
            <w:proofErr w:type="spellStart"/>
            <w:r w:rsidR="00D65EC8" w:rsidRPr="00827D4B">
              <w:t>variabel</w:t>
            </w:r>
            <w:proofErr w:type="spellEnd"/>
            <w:r w:rsidR="00D65EC8" w:rsidRPr="00827D4B">
              <w:t xml:space="preserve"> </w:t>
            </w:r>
            <w:proofErr w:type="spellStart"/>
            <w:r w:rsidR="00D65EC8" w:rsidRPr="00827D4B">
              <w:t>Kepemilikan</w:t>
            </w:r>
            <w:proofErr w:type="spellEnd"/>
            <w:r w:rsidR="00D65EC8" w:rsidRPr="00827D4B">
              <w:t xml:space="preserve"> Saham </w:t>
            </w:r>
            <w:proofErr w:type="spellStart"/>
            <w:r w:rsidR="00D65EC8" w:rsidRPr="00827D4B">
              <w:t>Publik</w:t>
            </w:r>
            <w:proofErr w:type="spellEnd"/>
            <w:r w:rsidR="00D65EC8" w:rsidRPr="00827D4B">
              <w:t xml:space="preserve">, </w:t>
            </w:r>
            <w:proofErr w:type="spellStart"/>
            <w:r w:rsidR="00D65EC8" w:rsidRPr="00827D4B">
              <w:t>Ukuran</w:t>
            </w:r>
            <w:proofErr w:type="spellEnd"/>
            <w:r w:rsidR="00D65EC8" w:rsidRPr="00827D4B">
              <w:t xml:space="preserve"> Perusahaan dan </w:t>
            </w:r>
            <w:proofErr w:type="spellStart"/>
            <w:r w:rsidR="00D65EC8" w:rsidRPr="00827D4B">
              <w:t>Profitabilitas</w:t>
            </w:r>
            <w:proofErr w:type="spellEnd"/>
            <w:r w:rsidR="00D65EC8" w:rsidRPr="00827D4B">
              <w:t xml:space="preserve"> </w:t>
            </w:r>
            <w:proofErr w:type="spellStart"/>
            <w:r w:rsidR="00D65EC8" w:rsidRPr="00827D4B">
              <w:t>berpengaruh</w:t>
            </w:r>
            <w:proofErr w:type="spellEnd"/>
            <w:r w:rsidR="00D65EC8" w:rsidRPr="00827D4B">
              <w:t xml:space="preserve"> </w:t>
            </w:r>
            <w:proofErr w:type="spellStart"/>
            <w:r w:rsidR="00D65EC8" w:rsidRPr="00827D4B">
              <w:t>terhadap</w:t>
            </w:r>
            <w:proofErr w:type="spellEnd"/>
            <w:r w:rsidR="00D65EC8" w:rsidRPr="00827D4B">
              <w:t xml:space="preserve"> </w:t>
            </w:r>
            <w:proofErr w:type="spellStart"/>
            <w:r w:rsidR="00D65EC8" w:rsidRPr="00827D4B">
              <w:t>Pengungkapan</w:t>
            </w:r>
            <w:proofErr w:type="spellEnd"/>
            <w:r w:rsidR="00D65EC8" w:rsidRPr="00827D4B">
              <w:t xml:space="preserve"> </w:t>
            </w:r>
            <w:r w:rsidR="00D65EC8" w:rsidRPr="00827D4B">
              <w:rPr>
                <w:iCs/>
              </w:rPr>
              <w:t xml:space="preserve">Islamic Corporate Social Responsibility </w:t>
            </w:r>
            <w:r w:rsidR="00D65EC8" w:rsidRPr="00827D4B">
              <w:t xml:space="preserve">(ICSR), </w:t>
            </w:r>
            <w:proofErr w:type="spellStart"/>
            <w:r w:rsidR="00D65EC8" w:rsidRPr="00827D4B">
              <w:t>sedangkan</w:t>
            </w:r>
            <w:proofErr w:type="spellEnd"/>
            <w:r w:rsidR="00D65EC8" w:rsidRPr="00827D4B">
              <w:t xml:space="preserve"> </w:t>
            </w:r>
            <w:proofErr w:type="spellStart"/>
            <w:r w:rsidR="00D65EC8" w:rsidRPr="00827D4B">
              <w:t>variabel</w:t>
            </w:r>
            <w:proofErr w:type="spellEnd"/>
            <w:r w:rsidR="00D65EC8" w:rsidRPr="00827D4B">
              <w:t xml:space="preserve"> </w:t>
            </w:r>
            <w:r w:rsidR="00D65EC8" w:rsidRPr="00827D4B">
              <w:rPr>
                <w:iCs/>
              </w:rPr>
              <w:t>leverage</w:t>
            </w:r>
            <w:r w:rsidR="00D65EC8" w:rsidRPr="00827D4B">
              <w:t xml:space="preserve"> dan </w:t>
            </w:r>
            <w:r w:rsidR="00D65EC8" w:rsidRPr="00827D4B">
              <w:rPr>
                <w:iCs/>
              </w:rPr>
              <w:t>corporate governance</w:t>
            </w:r>
            <w:r w:rsidR="00D65EC8" w:rsidRPr="00827D4B">
              <w:t xml:space="preserve"> </w:t>
            </w:r>
            <w:proofErr w:type="spellStart"/>
            <w:r w:rsidR="00D65EC8" w:rsidRPr="00827D4B">
              <w:t>tidak</w:t>
            </w:r>
            <w:proofErr w:type="spellEnd"/>
            <w:r w:rsidR="00D65EC8" w:rsidRPr="00827D4B">
              <w:t xml:space="preserve"> </w:t>
            </w:r>
            <w:proofErr w:type="spellStart"/>
            <w:r w:rsidR="00D65EC8" w:rsidRPr="00827D4B">
              <w:t>berpengaruh</w:t>
            </w:r>
            <w:proofErr w:type="spellEnd"/>
            <w:r w:rsidR="00D65EC8" w:rsidRPr="00827D4B">
              <w:t xml:space="preserve"> </w:t>
            </w:r>
            <w:proofErr w:type="spellStart"/>
            <w:r w:rsidR="00D65EC8" w:rsidRPr="00827D4B">
              <w:t>terhadap</w:t>
            </w:r>
            <w:proofErr w:type="spellEnd"/>
            <w:r w:rsidR="00D65EC8" w:rsidRPr="00827D4B">
              <w:t xml:space="preserve"> </w:t>
            </w:r>
            <w:proofErr w:type="spellStart"/>
            <w:r w:rsidR="00D65EC8" w:rsidRPr="00827D4B">
              <w:t>pengungkapan</w:t>
            </w:r>
            <w:proofErr w:type="spellEnd"/>
            <w:r w:rsidR="00D65EC8" w:rsidRPr="00827D4B">
              <w:t xml:space="preserve"> </w:t>
            </w:r>
            <w:r w:rsidR="00D65EC8" w:rsidRPr="00827D4B">
              <w:rPr>
                <w:iCs/>
              </w:rPr>
              <w:t>Islamic Corporate Social Responsibility</w:t>
            </w:r>
            <w:r w:rsidR="00D65EC8" w:rsidRPr="00827D4B">
              <w:t xml:space="preserve"> (ICSR).</w:t>
            </w:r>
            <w:r w:rsidR="00D65EC8">
              <w:t xml:space="preserve"> </w:t>
            </w:r>
            <w:proofErr w:type="spellStart"/>
            <w:r>
              <w:t>Dengan</w:t>
            </w:r>
            <w:proofErr w:type="spellEnd"/>
            <w:r>
              <w:t xml:space="preserve"> </w:t>
            </w:r>
            <w:proofErr w:type="spellStart"/>
            <w:r>
              <w:t>adanya</w:t>
            </w:r>
            <w:proofErr w:type="spellEnd"/>
            <w:r>
              <w:t xml:space="preserve"> </w:t>
            </w:r>
            <w:proofErr w:type="spellStart"/>
            <w:r>
              <w:t>hasil</w:t>
            </w:r>
            <w:proofErr w:type="spellEnd"/>
            <w:r w:rsidR="00D65EC8">
              <w:t xml:space="preserve"> </w:t>
            </w:r>
            <w:proofErr w:type="spellStart"/>
            <w:r w:rsidR="00D65EC8">
              <w:t>ini</w:t>
            </w:r>
            <w:proofErr w:type="spellEnd"/>
            <w:r>
              <w:t>,</w:t>
            </w:r>
            <w:r w:rsidR="00D65EC8">
              <w:t xml:space="preserve"> </w:t>
            </w:r>
            <w:proofErr w:type="spellStart"/>
            <w:r w:rsidR="00D65EC8">
              <w:t>diharapkan</w:t>
            </w:r>
            <w:proofErr w:type="spellEnd"/>
            <w:r w:rsidR="00D65EC8">
              <w:t xml:space="preserve"> </w:t>
            </w:r>
            <w:proofErr w:type="spellStart"/>
            <w:r w:rsidR="00D65EC8">
              <w:t>dapat</w:t>
            </w:r>
            <w:proofErr w:type="spellEnd"/>
            <w:r w:rsidR="00D65EC8">
              <w:t xml:space="preserve"> </w:t>
            </w:r>
            <w:proofErr w:type="spellStart"/>
            <w:r w:rsidR="00D65EC8">
              <w:t>memberikan</w:t>
            </w:r>
            <w:proofErr w:type="spellEnd"/>
            <w:r w:rsidR="00D65EC8">
              <w:t xml:space="preserve"> </w:t>
            </w:r>
            <w:proofErr w:type="spellStart"/>
            <w:r w:rsidR="00D65EC8">
              <w:t>dorongan</w:t>
            </w:r>
            <w:proofErr w:type="spellEnd"/>
            <w:r w:rsidR="00D65EC8">
              <w:t xml:space="preserve"> </w:t>
            </w:r>
            <w:proofErr w:type="spellStart"/>
            <w:r w:rsidR="00D65EC8">
              <w:t>bagi</w:t>
            </w:r>
            <w:proofErr w:type="spellEnd"/>
            <w:r w:rsidR="00D65EC8">
              <w:t xml:space="preserve"> </w:t>
            </w:r>
            <w:proofErr w:type="spellStart"/>
            <w:r w:rsidR="00D65EC8">
              <w:t>perusahaan</w:t>
            </w:r>
            <w:proofErr w:type="spellEnd"/>
            <w:r w:rsidR="00D65EC8">
              <w:t xml:space="preserve"> </w:t>
            </w:r>
            <w:proofErr w:type="spellStart"/>
            <w:r w:rsidR="00D65EC8">
              <w:t>syariah</w:t>
            </w:r>
            <w:proofErr w:type="spellEnd"/>
            <w:r w:rsidR="00D65EC8">
              <w:t xml:space="preserve"> </w:t>
            </w:r>
            <w:proofErr w:type="spellStart"/>
            <w:r w:rsidR="00D65EC8">
              <w:t>dalam</w:t>
            </w:r>
            <w:proofErr w:type="spellEnd"/>
            <w:r w:rsidR="00D65EC8">
              <w:t xml:space="preserve"> </w:t>
            </w:r>
            <w:proofErr w:type="spellStart"/>
            <w:r w:rsidR="00D65EC8">
              <w:t>mengimplementasikan</w:t>
            </w:r>
            <w:proofErr w:type="spellEnd"/>
            <w:r w:rsidR="00D65EC8">
              <w:t xml:space="preserve"> CSR yang </w:t>
            </w:r>
            <w:proofErr w:type="spellStart"/>
            <w:r w:rsidR="00D65EC8">
              <w:t>berlandaskan</w:t>
            </w:r>
            <w:proofErr w:type="spellEnd"/>
            <w:r w:rsidR="00D65EC8">
              <w:t xml:space="preserve"> </w:t>
            </w:r>
            <w:proofErr w:type="spellStart"/>
            <w:r w:rsidR="00D65EC8">
              <w:t>prinsip</w:t>
            </w:r>
            <w:proofErr w:type="spellEnd"/>
            <w:r w:rsidR="00D65EC8">
              <w:t xml:space="preserve"> </w:t>
            </w:r>
            <w:proofErr w:type="spellStart"/>
            <w:r w:rsidR="00D65EC8">
              <w:t>syariah</w:t>
            </w:r>
            <w:proofErr w:type="spellEnd"/>
            <w:r w:rsidR="00D65EC8">
              <w:t xml:space="preserve"> </w:t>
            </w:r>
            <w:proofErr w:type="spellStart"/>
            <w:r w:rsidR="00D65EC8">
              <w:t>secara</w:t>
            </w:r>
            <w:proofErr w:type="spellEnd"/>
            <w:r w:rsidR="00D65EC8">
              <w:t xml:space="preserve"> </w:t>
            </w:r>
            <w:proofErr w:type="spellStart"/>
            <w:r w:rsidR="00D65EC8">
              <w:t>lebih</w:t>
            </w:r>
            <w:proofErr w:type="spellEnd"/>
            <w:r w:rsidR="00D65EC8">
              <w:t xml:space="preserve"> </w:t>
            </w:r>
            <w:proofErr w:type="spellStart"/>
            <w:r w:rsidR="00D65EC8">
              <w:t>mendalam</w:t>
            </w:r>
            <w:proofErr w:type="spellEnd"/>
            <w:r w:rsidR="00D65EC8">
              <w:t xml:space="preserve"> </w:t>
            </w:r>
            <w:proofErr w:type="spellStart"/>
            <w:r w:rsidR="00D65EC8">
              <w:t>untuk</w:t>
            </w:r>
            <w:proofErr w:type="spellEnd"/>
            <w:r w:rsidR="00D65EC8">
              <w:t xml:space="preserve"> </w:t>
            </w:r>
            <w:proofErr w:type="spellStart"/>
            <w:r w:rsidR="00D65EC8">
              <w:t>mempertahankan</w:t>
            </w:r>
            <w:proofErr w:type="spellEnd"/>
            <w:r w:rsidR="00D65EC8">
              <w:t xml:space="preserve"> </w:t>
            </w:r>
            <w:proofErr w:type="spellStart"/>
            <w:r w:rsidR="00D65EC8">
              <w:t>citra</w:t>
            </w:r>
            <w:proofErr w:type="spellEnd"/>
            <w:r w:rsidR="00D65EC8">
              <w:t xml:space="preserve"> </w:t>
            </w:r>
            <w:proofErr w:type="spellStart"/>
            <w:r w:rsidR="00D65EC8">
              <w:t>perusahaan</w:t>
            </w:r>
            <w:proofErr w:type="spellEnd"/>
            <w:r w:rsidR="00D65EC8">
              <w:t>.</w:t>
            </w:r>
          </w:p>
        </w:tc>
      </w:tr>
    </w:tbl>
    <w:p w14:paraId="2098B2E5" w14:textId="77777777" w:rsidR="00A95189" w:rsidRPr="002B4317" w:rsidRDefault="00A95189" w:rsidP="005E10ED">
      <w:pPr>
        <w:pStyle w:val="Ventura-Content"/>
        <w:ind w:firstLine="0"/>
      </w:pPr>
    </w:p>
    <w:p w14:paraId="1D13BB8F" w14:textId="77777777" w:rsidR="00A95189" w:rsidRPr="002B4317" w:rsidRDefault="00A95189" w:rsidP="005E10ED">
      <w:pPr>
        <w:pStyle w:val="Ventura-Content"/>
        <w:sectPr w:rsidR="00A95189" w:rsidRPr="002B4317" w:rsidSect="004C102F">
          <w:headerReference w:type="even" r:id="rId11"/>
          <w:headerReference w:type="default" r:id="rId12"/>
          <w:footerReference w:type="even" r:id="rId13"/>
          <w:footerReference w:type="default" r:id="rId14"/>
          <w:headerReference w:type="first" r:id="rId15"/>
          <w:footerReference w:type="first" r:id="rId16"/>
          <w:pgSz w:w="11907" w:h="16840" w:code="9"/>
          <w:pgMar w:top="1701" w:right="1247" w:bottom="1531" w:left="1134" w:header="1021" w:footer="1077" w:gutter="0"/>
          <w:pgNumType w:start="1"/>
          <w:cols w:space="720"/>
          <w:docGrid w:linePitch="360"/>
        </w:sectPr>
      </w:pPr>
    </w:p>
    <w:p w14:paraId="190F118D" w14:textId="77777777" w:rsidR="00891382" w:rsidRPr="002B4317" w:rsidRDefault="00373A35" w:rsidP="005E10ED">
      <w:pPr>
        <w:pStyle w:val="Ventura-Heading1"/>
      </w:pPr>
      <w:r>
        <w:rPr>
          <w:noProof/>
        </w:rPr>
        <mc:AlternateContent>
          <mc:Choice Requires="wps">
            <w:drawing>
              <wp:anchor distT="107950" distB="0" distL="114300" distR="114300" simplePos="0" relativeHeight="251658240" behindDoc="0" locked="0" layoutInCell="1" allowOverlap="1" wp14:anchorId="3CDE1F49" wp14:editId="30631993">
                <wp:simplePos x="0" y="0"/>
                <wp:positionH relativeFrom="column">
                  <wp:posOffset>13335</wp:posOffset>
                </wp:positionH>
                <wp:positionV relativeFrom="page">
                  <wp:posOffset>9545955</wp:posOffset>
                </wp:positionV>
                <wp:extent cx="6047740" cy="171450"/>
                <wp:effectExtent l="0" t="0" r="10160" b="0"/>
                <wp:wrapTopAndBottom/>
                <wp:docPr id="1" name="Text Box 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774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637D9F" w14:textId="77777777" w:rsidR="001B4963" w:rsidRPr="0086358E" w:rsidRDefault="00373A35" w:rsidP="00476184">
                            <w:pPr>
                              <w:pStyle w:val="Ventura-Keyword"/>
                            </w:pPr>
                            <w:r w:rsidRPr="00E03BC6">
                              <w:t>* Corresponding author, email address</w:t>
                            </w:r>
                            <w:r>
                              <w:t xml:space="preserve">: </w:t>
                            </w:r>
                            <w:r>
                              <w:rPr>
                                <w:vertAlign w:val="superscript"/>
                              </w:rPr>
                              <w:t>1</w:t>
                            </w:r>
                            <w:r>
                              <w:t xml:space="preserve"> author_email@domain.ac.id, </w:t>
                            </w:r>
                            <w:r>
                              <w:rPr>
                                <w:vertAlign w:val="superscript"/>
                              </w:rPr>
                              <w:t>2</w:t>
                            </w:r>
                            <w:r>
                              <w:t xml:space="preserve"> author_email@domain.ac.id.</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CDE1F49" id="_x0000_t202" coordsize="21600,21600" o:spt="202" path="m,l,21600r21600,l21600,xe">
                <v:stroke joinstyle="miter"/>
                <v:path gradientshapeok="t" o:connecttype="rect"/>
              </v:shapetype>
              <v:shape id="Text Box 262" o:spid="_x0000_s1026" type="#_x0000_t202" style="position:absolute;left:0;text-align:left;margin-left:1.05pt;margin-top:751.65pt;width:476.2pt;height:13.5pt;z-index:251658240;visibility:visible;mso-wrap-style:square;mso-width-percent:0;mso-height-percent:0;mso-wrap-distance-left:9pt;mso-wrap-distance-top:8.5pt;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" filled="f" stroked="f">
                <v:textbox inset="0,0,0,0">
                  <w:txbxContent>
                    <w:p w14:paraId="08637D9F" w14:textId="77777777" w:rsidR="001B4963" w:rsidRPr="0086358E" w:rsidRDefault="00373A35" w:rsidP="00476184">
                      <w:pPr>
                        <w:pStyle w:val="Ventura-Keyword"/>
                      </w:pPr>
                      <w:r w:rsidRPr="00E03BC6">
                        <w:t>* Corresponding author, email address</w:t>
                      </w:r>
                      <w:r>
                        <w:t xml:space="preserve">: </w:t>
                      </w:r>
                      <w:r>
                        <w:rPr>
                          <w:vertAlign w:val="superscript"/>
                        </w:rPr>
                        <w:t>1</w:t>
                      </w:r>
                      <w:r>
                        <w:t xml:space="preserve"> author_email@domain.ac.id, </w:t>
                      </w:r>
                      <w:r>
                        <w:rPr>
                          <w:vertAlign w:val="superscript"/>
                        </w:rPr>
                        <w:t>2</w:t>
                      </w:r>
                      <w:r>
                        <w:t xml:space="preserve"> author_email@domain.ac.id.</w:t>
                      </w:r>
                    </w:p>
                  </w:txbxContent>
                </v:textbox>
                <w10:wrap type="topAndBottom" anchory="page"/>
              </v:shape>
            </w:pict>
          </mc:Fallback>
        </mc:AlternateContent>
      </w:r>
      <w:r w:rsidR="00E03BC6" w:rsidRPr="002B4317">
        <w:t xml:space="preserve">1. </w:t>
      </w:r>
      <w:r w:rsidR="00DC3CC2" w:rsidRPr="002B4317">
        <w:t>Introduction</w:t>
      </w:r>
    </w:p>
    <w:p w14:paraId="72211554" w14:textId="77777777" w:rsidR="00682AB0" w:rsidRPr="002B4317" w:rsidRDefault="00373A35" w:rsidP="005E6729">
      <w:pPr>
        <w:pStyle w:val="Ventura-Content"/>
      </w:pPr>
      <w:r w:rsidRPr="00471901">
        <w:t>The company has the responsibility to report on every activity carried out to stakeholders as evidence that the company has carried out its operational activities properly and responsibly. In addi</w:t>
      </w:r>
      <w:r w:rsidRPr="00471901">
        <w:t>tion to corporate financial reporting, companies must report on their social responsibility activities. This aims to keep the company focused on all related aspects from the monetary, social, and environmental points of view</w:t>
      </w:r>
      <w:r>
        <w:t xml:space="preserve"> </w:t>
      </w:r>
      <w:r w:rsidR="00C42F32">
        <w:fldChar w:fldCharType="begin" w:fldLock="1"/>
      </w:r>
      <w:r w:rsidR="00C42F32">
        <w:instrText>ADDIN CSL_CITATION {"citationItems":[{"id":"ITEM-1","itemData":{"DOI":"10.30595/kompartemen.v15i2.1876","ISSN":"1693-1084","abstract":"The purpose of this research is to evaluate the data shown by Corporate Social Responsibility at shareea banks in Indonesia, which analyzed by ISR index. This research used a sampling method. The samples which are used for the purpose of this research are the purposive sampling taken from shareea banks at Indonesia which already registered on 2015 and 2016. The result of this research showed that Indonesia Muamalat Bank scored the highest at CSR at 86% and disclosed consistently, while Victoria Bank of Indonesia scored the lowest at 54%. The data also showed that there were four shareea banks which ranked as very informative, they were: Indonesia Muamalat Bank, Shareea Bank of Indonesia Nation, Mandiri Shareea Bank, and Central Asia Bank. There were also five shareea banks which simply ranked informative, they were: Mega Shareea Bank, Shareea Bank of Indonesia Citizen, Bukopin Shareea Bank, Shareea Bank of Banten of West Java and Panin Shareea Bank. Last, there were two banks which are evaluated as less informative namely Shareea Bank of Maybank Indonesia and Victoria Shareea Bank.Keywords: Corporate Social Responsibility, Shareea Banks, ISR index.","author":[{"dropping-particle":"","family":"Sawitri","given":"Desy Retma","non-dropping-particle":"","parse-names":false,"suffix":""},{"dropping-particle":"","family":"Juanda","given":"Ahmad","non-dropping-particle":"","parse-names":false,"suffix":""},{"dropping-particle":"","family":"Jati","given":"A Waluya","non-dropping-particle":"","parse-names":false,"suffix":""}],"container-title":"Kompartemen: Jurnal Ilmiah Akuntansi","id":"ITEM-1","issue":"2","issued":{"date-parts":[["2017"]]},"page":"983-992","title":"Analisis Pengungkapan Corporate Social Responsibility Perbankan Syariah Indonesia Berdasarkan Islamic Social Reporting Index","type":"article-journal","volume":"15"},"uris":["http://www.mendeley.com/documents/?uuid=71d661c9-b1b5-4ce6-934d-9b56410fc77b"]}],"mendeley":{"formattedCitation":"(Sawitri et al., 2017a)","plainTextFormattedCitation":"(Sawitri et al., 2017a)","previouslyFormattedCitation":"(Sawitri et al., 2017a)"},"properties":{"noteIndex":0},"schema":"https://github.com/citation-style-language/schema/raw/master/csl-citation.json"}</w:instrText>
      </w:r>
      <w:r w:rsidR="00C42F32">
        <w:fldChar w:fldCharType="separate"/>
      </w:r>
      <w:r w:rsidR="00C42F32" w:rsidRPr="00227891">
        <w:rPr>
          <w:noProof/>
        </w:rPr>
        <w:t>(Sawitri et al., 2017)</w:t>
      </w:r>
      <w:r w:rsidR="00C42F32">
        <w:fldChar w:fldCharType="end"/>
      </w:r>
      <w:r w:rsidR="00D65EC8" w:rsidRPr="002B4317">
        <w:t>.</w:t>
      </w:r>
    </w:p>
    <w:p w14:paraId="7A3C1FD0" w14:textId="77777777" w:rsidR="00521718" w:rsidRPr="002B4317" w:rsidRDefault="00373A35" w:rsidP="005E6729">
      <w:pPr>
        <w:pStyle w:val="Ventura-Content"/>
      </w:pPr>
      <w:r w:rsidRPr="0073401B">
        <w:lastRenderedPageBreak/>
        <w:t xml:space="preserve">Disclosure of ICSR is the company's commitment to creating new value to build the economy and improve the living status of employees, communities, and the environment that has an impact. Disclosure of social responsibility is a form of corporate environmental social activities that need to be included in the annual report as tangible evidence that there are CSR activities in business </w:t>
      </w:r>
      <w:r w:rsidR="00C01F2E">
        <w:fldChar w:fldCharType="begin" w:fldLock="1"/>
      </w:r>
      <w:r w:rsidR="00C01F2E">
        <w:instrText>ADDIN CSL_CITATION {"citationItems":[{"id":"ITEM-1","itemData":{"DOI":"10.21043/iqtishadia.v10i1.2365","author":[{"dropping-particle":"","family":"Qoyum","given":"Abdul","non-dropping-particle":"","parse-names":false,"suffix":""},{"dropping-particle":"","family":"Mutmainah","given":"Liyatul","non-dropping-particle":"","parse-names":false,"suffix":""},{"dropping-particle":"","family":"Setyono","given":"Joko","non-dropping-particle":"","parse-names":false,"suffix":""},{"dropping-particle":"","family":"Qizam","given":"Ibnu","non-dropping-particle":"","parse-names":false,"suffix":""}],"id":"ITEM-1","issued":{"date-parts":[["2017"]]},"title":"The Impact of Good Corporate Governance, Company Size nn Corporate Social Responsibility Disclosure: Case Study of Islamic Banking in Indonesia","type":"article-journal","volume":"10"},"uris":["http://www.mendeley.com/documents/?uuid=d690bc2c-d9ac-310f-bd42-8603c6e43d9b"]}],"mendeley":{"formattedCitation":"(Qoyum et al., 2017)","plainTextFormattedCitation":"(Qoyum et al., 2017)","previouslyFormattedCitation":"(Qoyum et al., 2017)"},"properties":{"noteIndex":0},"schema":"https://github.com/citation-style-language/schema/raw/master/csl-citation.json"}</w:instrText>
      </w:r>
      <w:r w:rsidR="00C01F2E">
        <w:fldChar w:fldCharType="separate"/>
      </w:r>
      <w:r w:rsidR="00C01F2E" w:rsidRPr="006D431C">
        <w:rPr>
          <w:noProof/>
        </w:rPr>
        <w:t>(Qoyum et al., 2017)</w:t>
      </w:r>
      <w:r w:rsidR="00C01F2E">
        <w:fldChar w:fldCharType="end"/>
      </w:r>
      <w:r w:rsidRPr="0073401B">
        <w:t>. This is supported by government regulations regarding the disclosure of CSR activities in Law No. 40/2007 concerning limited liability companies having an obligation to carry out and disclose CSR activities</w:t>
      </w:r>
      <w:r w:rsidR="00D65EC8" w:rsidRPr="00C62E45">
        <w:t>.</w:t>
      </w:r>
    </w:p>
    <w:p w14:paraId="6F9D68C5" w14:textId="77777777" w:rsidR="00521718" w:rsidRPr="002B4317" w:rsidRDefault="00373A35" w:rsidP="005E6729">
      <w:pPr>
        <w:pStyle w:val="Ventura-Content"/>
      </w:pPr>
      <w:r w:rsidRPr="00FE3EA4">
        <w:t xml:space="preserve">The development of companies that use sharia principles in Indonesia has caused the public's assessment to move from conventional activities to activities that have sharia elements. This triggers the public to assess the performance of Islamic companies based on corporate social activities as a form of </w:t>
      </w:r>
      <w:proofErr w:type="spellStart"/>
      <w:r w:rsidRPr="00FE3EA4">
        <w:t>muamalah</w:t>
      </w:r>
      <w:proofErr w:type="spellEnd"/>
      <w:r w:rsidRPr="00FE3EA4">
        <w:t xml:space="preserve"> practice and corporate responsibility to the environment. The concept of CSR in Islam has a broad meaning where companies are aware of their roles and responsibilities as servants who carry out responsibilities based on the commands of Allah SWT. Two factors must be included in CSR based on an Islamic perspective: full disclosure and social accountability </w:t>
      </w:r>
      <w:r w:rsidR="002F3B1B">
        <w:fldChar w:fldCharType="begin" w:fldLock="1"/>
      </w:r>
      <w:r w:rsidR="002F3B1B">
        <w:instrText>ADDIN CSL_CITATION {"citationItems":[{"id":"ITEM-1","itemData":{"DOI":"10.14414/tiar.v8i2.1628","author":[{"dropping-particle":"","family":"Riyani","given":"Dinna","non-dropping-particle":"","parse-names":false,"suffix":""},{"dropping-particle":"","family":"Dewi","given":"Nurul Hasanah Uswati","non-dropping-particle":"","parse-names":false,"suffix":""}],"id":"ITEM-1","issue":"2","issued":{"date-parts":[["2018"]]},"page":"121-130","title":"The effect of corporate governance , leverage , and liquidity on Islamic Social Reporting ( ISR ) disclosure in Islamic commercial banks in Indonesia","type":"article-journal","volume":"8"},"uris":["http://www.mendeley.com/documents/?uuid=fce224f3-a8d4-45d8-88cc-2d46e1ba0aee"]}],"mendeley":{"formattedCitation":"(Riyani &amp; Dewi, 2018)","plainTextFormattedCitation":"(Riyani &amp; Dewi, 2018)","previouslyFormattedCitation":"(Riyani &amp; Dewi, 2018)"},"properties":{"noteIndex":0},"schema":"https://github.com/citation-style-language/schema/raw/master/csl-citation.json"}</w:instrText>
      </w:r>
      <w:r w:rsidR="002F3B1B">
        <w:fldChar w:fldCharType="separate"/>
      </w:r>
      <w:r w:rsidR="002F3B1B" w:rsidRPr="002F3B1B">
        <w:rPr>
          <w:noProof/>
        </w:rPr>
        <w:t>(Riyani &amp; Dewi, 2018)</w:t>
      </w:r>
      <w:r w:rsidR="002F3B1B">
        <w:fldChar w:fldCharType="end"/>
      </w:r>
      <w:r w:rsidRPr="002B4317">
        <w:t>.</w:t>
      </w:r>
    </w:p>
    <w:p w14:paraId="04C9314D" w14:textId="77777777" w:rsidR="00186405" w:rsidRDefault="00373A35" w:rsidP="00186405">
      <w:pPr>
        <w:pStyle w:val="Ventura-Content"/>
      </w:pPr>
      <w:r>
        <w:t>The increasing implementation of CSR based on sharia principles has led to many changes in Islamic social responsibility reporting, especially for companies that use sharia principles. Islamic Social Reporting (ISR) is the development of a CSR index based on sharia principles, which was later developed by many previous researchers as the basis for CSR disclosure with sharia principles and later developed into the ISR index. Assessment using the ISR index is currently still rarely carried out on non-financial companies in the capital market, so in this study, the development of a sharia index assessment was carried out on non-financial companies that had been designated as sharia companies such as the Jakarta Islamic Index</w:t>
      </w:r>
      <w:r w:rsidR="002F3B1B">
        <w:t xml:space="preserve"> </w:t>
      </w:r>
      <w:r>
        <w:t>(JII).</w:t>
      </w:r>
    </w:p>
    <w:p w14:paraId="35750175" w14:textId="77777777" w:rsidR="00521718" w:rsidRPr="002B4317" w:rsidRDefault="00373A35" w:rsidP="00186405">
      <w:pPr>
        <w:pStyle w:val="Ventura-Content"/>
      </w:pPr>
      <w:r>
        <w:t>In general, corporate social disclosures use the GRI Index as a reference for companies in presenting social responsibility reports, while disclosures based on ISR are still voluntary. In the Islamic concept, organizations should disclose any given mandate, either mandatory or voluntary so that each organization has differences in making disclosures. The absence of specific standards that explain sharia-based CSR causes many stakeholders to be unable to distinguish between sharia and non-sharia company CSR reporting</w:t>
      </w:r>
      <w:r w:rsidRPr="002B4317">
        <w:t>.</w:t>
      </w:r>
    </w:p>
    <w:p w14:paraId="64C5BEF7" w14:textId="77777777" w:rsidR="000211D5" w:rsidRDefault="00373A35" w:rsidP="005E6729">
      <w:pPr>
        <w:pStyle w:val="Ventura-Content"/>
      </w:pPr>
      <w:r w:rsidRPr="000211D5">
        <w:t xml:space="preserve">Public </w:t>
      </w:r>
      <w:r w:rsidR="000C3897" w:rsidRPr="000C3897">
        <w:t>shareholding</w:t>
      </w:r>
      <w:r w:rsidRPr="000211D5">
        <w:t xml:space="preserve"> is </w:t>
      </w:r>
      <w:r w:rsidR="000C3897" w:rsidRPr="000C3897">
        <w:t>a quasi-</w:t>
      </w:r>
      <w:r w:rsidRPr="000211D5">
        <w:t xml:space="preserve">public </w:t>
      </w:r>
      <w:r w:rsidR="000C3897" w:rsidRPr="000C3897">
        <w:t>distribution of company shareholdings.</w:t>
      </w:r>
      <w:r w:rsidRPr="000211D5">
        <w:t xml:space="preserve"> The wider community or the public needs company information as a guide for the community in reviewing company performance, especially decision making. The number of shares outstanding to the public is expected to be able to monitor management activities in disclosing company information, especially in disclosing ICSR. This statement is supported by research by </w:t>
      </w:r>
      <w:r w:rsidR="00446104">
        <w:fldChar w:fldCharType="begin" w:fldLock="1"/>
      </w:r>
      <w:r w:rsidR="00446104">
        <w:instrText>ADDIN CSL_CITATION {"citationItems":[{"id":"ITEM-1","itemData":{"DOI":"10.15294/aaj.v4i3.8300","ISSN":"2252-6765","abstract":"Penelitian ini bertujuan untuk memperoleh bukti secara empiris pengaruh kepemilikan saham publik, profitabilitas dan pengungkapan media terhadap pengungkapan tanggung jawab sosial. Populasi dalam penelitian ini adalah perusahaan property dan real estate yang terdaftar di Bursa Efek Indonesia tahun 2011-2013 berjumlah 46 perusahhan. Teknik pengambilan sampel dilakukan dengan metode purposive sampling yang menghasilkan 78 sampel selama tahun 2011-2013. Data yang digunakan merupakan data sekunder yang diambil melalui teknik dokumentasi yang terdiri dari annual report perusahaan property dan real estate tahun 2011-2013. Metode analisis data penelitian ini yaitu analisis regresi berganda. Berdasarkan analisis regresi linier berganda dan uji t menunjukkan bahwa kepemilikan saham publik berpengaruh positif terhadap pengungkapan tanggung jawab sosial. Profitabilitas dan pengungkapan media tidak berpengaruh terhadap pengungkapan tanggung jawab sosial. Penelitian selanjutnya dapat menggunakan media selain website perusahaan untuk variasi hasil penelitian.","author":[{"dropping-particle":"","family":"Rahayu","given":"Puji","non-dropping-particle":"","parse-names":false,"suffix":""},{"dropping-particle":"","family":"Aniskurillah","given":"Indah","non-dropping-particle":"","parse-names":false,"suffix":""}],"container-title":"Accounting Analysis Journal","id":"ITEM-1","issue":"3","issued":{"date-parts":[["2015"]]},"page":"1-9","title":"Pengaruh Kepemilikan Saham Publik, Profitabilitas Dan Media Terhadap Pengungkapan Tanggung Jawab Sosial","type":"article-journal","volume":"4"},"uris":["http://www.mendeley.com/documents/?uuid=b7090090-a106-41d0-af78-f3ec12f847df"]}],"mendeley":{"formattedCitation":"(P. Rahayu &amp; Aniskurillah, 2015)","manualFormatting":"Rahayu &amp; Aniskurillah, (2015)","plainTextFormattedCitation":"(P. Rahayu &amp; Aniskurillah, 2015)","previouslyFormattedCitation":"(P. Rahayu &amp; Aniskurillah, 2015)"},"properties":{"noteIndex":0},"schema":"https://github.com/citation-style-language/schema/raw/master/csl-citation.json"}</w:instrText>
      </w:r>
      <w:r w:rsidR="00446104">
        <w:fldChar w:fldCharType="separate"/>
      </w:r>
      <w:r w:rsidR="00446104" w:rsidRPr="003350E0">
        <w:rPr>
          <w:noProof/>
        </w:rPr>
        <w:t xml:space="preserve">Rahayu &amp; Aniskurillah, </w:t>
      </w:r>
      <w:r w:rsidR="00446104">
        <w:rPr>
          <w:noProof/>
        </w:rPr>
        <w:t>(</w:t>
      </w:r>
      <w:r w:rsidR="00446104" w:rsidRPr="003350E0">
        <w:rPr>
          <w:noProof/>
        </w:rPr>
        <w:t>2015)</w:t>
      </w:r>
      <w:r w:rsidR="00446104">
        <w:fldChar w:fldCharType="end"/>
      </w:r>
      <w:r w:rsidR="00446104">
        <w:t xml:space="preserve"> and </w:t>
      </w:r>
      <w:r w:rsidR="00446104" w:rsidRPr="00E82D36">
        <w:fldChar w:fldCharType="begin" w:fldLock="1"/>
      </w:r>
      <w:r w:rsidR="00446104" w:rsidRPr="00E82D36">
        <w:instrText>ADDIN CSL_CITATION {"citationItems":[{"id":"ITEM-1","itemData":{"abstract":"The study aims to examine the effect of company size, leverage, and public shareholding on the disclosure of corporate social responsibility. The research samples, which comprise of 36 companies of mining sector listed in the Indonesia Stock Exchange in 2014-2015, are selected by purposive sampling method. The type of data used is secondary data, and they are analyzed through multiple regression method to determine the effects of the variables. The results of the study show that company size and public shareholding have significant effect on corporate social responsibility disclosure. The larger the size of a company, the wider the corporate social responsibility the company will disclose. Meanwhile, leverage does not affect the corporate social responsibility disclosure. This shows that companies in the mining sector in Indonesia do not pay attention to the company’s leverage level in disclosing their corporate social responsibility.","author":[{"dropping-particle":"","family":"Kusuma","given":"Hanavistha Nadya","non-dropping-particle":"","parse-names":false,"suffix":""}],"container-title":"Jurnal Ilmiah Mahasiswa FEB Universitas Brawijaya","id":"ITEM-1","issue":"2","issued":{"date-parts":[["2016"]]},"title":"Pengaruh Ukuran Perusahaan,Leverage, Dan Kepemilikan Saham Publik Terhadap Luas Pengungkapan Csr Pada Perusahaan di Sektor Pertambangan Yang Terdaftar Di Bei Tahun 2014-2015","type":"article-journal","volume":"5"},"uris":["http://www.mendeley.com/documents/?uuid=1b6bcc83-083b-4fc2-9a10-9ba6156cb275"]}],"mendeley":{"formattedCitation":"(Kusuma, 2016)","manualFormatting":"Kusuma (2016)","plainTextFormattedCitation":"(Kusuma, 2016)","previouslyFormattedCitation":"(Kusuma, 2016)"},"properties":{"noteIndex":0},"schema":"https://github.com/citation-style-language/schema/raw/master/csl-citation.json"}</w:instrText>
      </w:r>
      <w:r w:rsidR="00446104" w:rsidRPr="00E82D36">
        <w:fldChar w:fldCharType="separate"/>
      </w:r>
      <w:r w:rsidR="00446104" w:rsidRPr="00E82D36">
        <w:rPr>
          <w:noProof/>
        </w:rPr>
        <w:t>Kusuma (2016)</w:t>
      </w:r>
      <w:r w:rsidR="00446104" w:rsidRPr="00E82D36">
        <w:fldChar w:fldCharType="end"/>
      </w:r>
      <w:r w:rsidR="00446104">
        <w:t xml:space="preserve"> </w:t>
      </w:r>
      <w:r w:rsidR="000C3897" w:rsidRPr="000C3897">
        <w:t>which state that public share ownership has a significant influence.</w:t>
      </w:r>
      <w:r w:rsidRPr="000211D5">
        <w:t xml:space="preserve"> However, the research of </w:t>
      </w:r>
      <w:r w:rsidR="002F3B1B">
        <w:fldChar w:fldCharType="begin" w:fldLock="1"/>
      </w:r>
      <w:r w:rsidR="00067D6A">
        <w:instrText>ADDIN CSL_CITATION {"citationItems":[{"id":"ITEM-1","itemData":{"abstract":"Penelitian ini bertujuan untuk menganalisis faktor-faktor yang dapat memengaruhi pengungkapan pelaporan sosial islami atau Islamic Social Reporting (ISR) dari perusahaan-perusahaan yang terdaftar sebagai anggota atau konstituen dari Indeks Saham Syariah Indonesia (ISSI),selanjutnya tujuan lain dari penelitian ini adalah untuk mengetahui apakah ada pengaruh dari pengungkapan pelaporan sosial islami (ISR) terhadap koefisien respon laba. Kualitas laba diproxy ERC, data yang digunakan untuk menghitung ERC adalah cumulative abnormal return (CAR) tahunan dan unexpected earnings (UE) pada periode tahun 2011-2013 dengan batas pengamatan 45 hari dari tanggal penutupan 31 Desember 2013. Untuk mencapai tujuan penelitian, terlebih dahulu dilakukan analisis terhadap faktor-faktor yang memengaruhi pengungkapan pelaporan sosial islami, islamic social reporting (ISR) sebagai variabel independen yaitu;ukuran perusahaan, tingkat laba, tipe perusahaan, jenis bank mitra, porsi kepemilikan saham publik, ukuran dewankomisaris, dan status perusahaan. Pengujian yang digunakan dalam perhitungan adalah pengujian regresi berganda danuji hipotesis.Dari hasil pengujian parsial faktor-faktor yang memengaruhi luas pengungkapan ISR ternyata hanya porsi kepemikan saham publik yang berpengaruh negatif terhadap luas pengungkapan ISR sementara faktor-faktor lain yang dipergunakan dalam penelitian ini memiliki pengaruh positif terhadap ISR. Selanjutnya terkait implikasi ISR terhadap ERC, hasilnya bahwa ISR berpengaruh negatif terhadap ERC, dan mampu memediasi penuh hubungan faktor-faktor ISR dengan ERC. Kata","author":[{"dropping-particle":"","family":"Usmar","given":"Dani","non-dropping-particle":"","parse-names":false,"suffix":""}],"container-title":"Jurnal Wawasan dan Riset Akuntansi","id":"ITEM-1","issue":"1","issued":{"date-parts":[["2014"]]},"page":"1-22","title":"Analisis faktor-faktor yang mempengaruhi islamic social reporting (isr) dan implikasi islamic social reporting terhadap kualitas laba (earnings quality)","type":"article-journal","volume":"2"},"uris":["http://www.mendeley.com/documents/?uuid=af90dd84-5dab-4a5e-b777-782b2eed5eef"]}],"mendeley":{"formattedCitation":"(Usmar, 2014)","manualFormatting":"Usmar, (2014)","plainTextFormattedCitation":"(Usmar, 2014)","previouslyFormattedCitation":"(Usmar, 2014)"},"properties":{"noteIndex":0},"schema":"https://github.com/citation-style-language/schema/raw/master/csl-citation.json"}</w:instrText>
      </w:r>
      <w:r w:rsidR="002F3B1B">
        <w:fldChar w:fldCharType="separate"/>
      </w:r>
      <w:r w:rsidR="002F3B1B" w:rsidRPr="002F3B1B">
        <w:rPr>
          <w:noProof/>
        </w:rPr>
        <w:t xml:space="preserve">Usmar, </w:t>
      </w:r>
      <w:r w:rsidR="002F3B1B">
        <w:rPr>
          <w:noProof/>
        </w:rPr>
        <w:t>(</w:t>
      </w:r>
      <w:r w:rsidR="002F3B1B" w:rsidRPr="002F3B1B">
        <w:rPr>
          <w:noProof/>
        </w:rPr>
        <w:t>2014)</w:t>
      </w:r>
      <w:r w:rsidR="002F3B1B">
        <w:fldChar w:fldCharType="end"/>
      </w:r>
      <w:r w:rsidRPr="000211D5">
        <w:t xml:space="preserve"> </w:t>
      </w:r>
      <w:r w:rsidR="005F5E2D" w:rsidRPr="00E82D36">
        <w:t xml:space="preserve">dan </w:t>
      </w:r>
      <w:r w:rsidR="005F5E2D" w:rsidRPr="00E82D36">
        <w:fldChar w:fldCharType="begin" w:fldLock="1"/>
      </w:r>
      <w:r w:rsidR="005F5E2D" w:rsidRPr="00E82D36">
        <w:instrText>ADDIN CSL_CITATION {"citationItems":[{"id":"ITEM-1","itemData":{"ISSN":"2252-6765","abstract":"Abstrak ___________________________________________________________________ Penelitian ini bertujuan untuk memperoleh bukti empiris mengenai pengaruh Good Corporate Governance (GCG), size, jenis produk, kepemilikan saham publik terhadap pengungkapan Islamic Social Reporting (ISR). Populasi dalam penelitian ini adalah perusahaan yang terdaftar di Daftar Efek Syariah selama periode tahun 2011-2014. Metode sampling yang digunakan dalam penelitian ini adalah purposive sampling. Total sampel yang digunakan dalam penelitian ini adalah sebanyak 54 perusahaan. Analisis data dilakukan dengan statistik deskriptif dan uji asumsi klasik serta pengujian hipotesis dengan metode regresi berganda. Hasil dari penelitian ini menunjukkan bahwa size dan jenis produk berpengaruh positif signifikan terhadap pengungkapan ISR. Sementara itu, GCG dan kepemilikan saham publik tidak berpengaruh positif signifikan terhadap pengungkapan ISR.Saran untuk penelitian selanjutnya adalah memperluas jumlah sampel dengan memperpanjang periode penelitian menjadi lima tahun atau lebih. Selain itu, dapat menggunakan daftar perusahaan ISSI ataupun JII. Dengan menggunakan daftar perusahaan tersebut diharapkan dapat lebih menggambarkan kondisi pasar modal syariah Indonesia yang sebenarnya. Abstract ______________________________________________________________","author":[{"dropping-particle":"","family":"Jannah","given":"Awalya Ma'rifatul","non-dropping-particle":"","parse-names":false,"suffix":""},{"dropping-particle":"","family":"Asrori","given":"","non-dropping-particle":"","parse-names":false,"suffix":""}],"container-title":"Accounting Analysis Journal","id":"ITEM-1","issue":"1","issued":{"date-parts":[["2016"]]},"page":"1-9","title":"Pengaruh GCG, Size, Jenis Produk Dan Kepemilikan Saham Publik Terhadap Pengungkapan ISR","type":"article-journal","volume":"5"},"uris":["http://www.mendeley.com/documents/?uuid=e378305c-1832-4cee-aba0-4424d9907fc8"]}],"mendeley":{"formattedCitation":"(Jannah &amp; Asrori, 2016)","manualFormatting":"Jannah &amp; Asrori (2016)","plainTextFormattedCitation":"(Jannah &amp; Asrori, 2016)","previouslyFormattedCitation":"(Jannah &amp; Asrori, 2016)"},"properties":{"noteIndex":0},"schema":"https://github.com/citation-style-language/schema/raw/master/csl-citation.json"}</w:instrText>
      </w:r>
      <w:r w:rsidR="005F5E2D" w:rsidRPr="00E82D36">
        <w:fldChar w:fldCharType="separate"/>
      </w:r>
      <w:r w:rsidR="005F5E2D" w:rsidRPr="00E82D36">
        <w:rPr>
          <w:noProof/>
        </w:rPr>
        <w:t>Jannah &amp; Asrori (2016)</w:t>
      </w:r>
      <w:r w:rsidR="005F5E2D" w:rsidRPr="00E82D36">
        <w:fldChar w:fldCharType="end"/>
      </w:r>
      <w:r w:rsidR="000C3897" w:rsidRPr="000C3897">
        <w:t>, disagree which states that public share ownership does not affect ICSR</w:t>
      </w:r>
      <w:r w:rsidRPr="000211D5">
        <w:t>.</w:t>
      </w:r>
    </w:p>
    <w:p w14:paraId="113C054A" w14:textId="77777777" w:rsidR="003B3AB3" w:rsidRDefault="00373A35" w:rsidP="003B3AB3">
      <w:pPr>
        <w:pStyle w:val="Ventura-Content"/>
      </w:pPr>
      <w:r>
        <w:t>Company size is the size of the company which is assessed based on the logarithm of total assets. Large</w:t>
      </w:r>
      <w:r w:rsidR="00442B2E" w:rsidRPr="00442B2E">
        <w:t>-scale</w:t>
      </w:r>
      <w:r>
        <w:t xml:space="preserve"> companies are companies that tend to have large amounts of assets so that their operational activities are more complex. Disclosure of ICSR information of large companies tends to have a broad scope. This statement is supported by </w:t>
      </w:r>
      <w:r w:rsidR="00067D6A">
        <w:fldChar w:fldCharType="begin" w:fldLock="1"/>
      </w:r>
      <w:r w:rsidR="00F44482">
        <w:instrText>ADDIN CSL_CITATION {"citationItems":[{"id":"ITEM-1","itemData":{"DOI":"10.21043/iqtishadia.v10i1.2365","author":[{"dropping-particle":"","family":"Qoyum","given":"Abdul","non-dropping-particle":"","parse-names":false,"suffix":""},{"dropping-particle":"","family":"Mutmainah","given":"Liyatul","non-dropping-particle":"","parse-names":false,"suffix":""},{"dropping-particle":"","family":"Setyono","given":"Joko","non-dropping-particle":"","parse-names":false,"suffix":""},{"dropping-particle":"","family":"Qizam","given":"Ibnu","non-dropping-particle":"","parse-names":false,"suffix":""}],"id":"ITEM-1","issued":{"date-parts":[["2017"]]},"title":"The Impact of Good Corporate Governance, Company Size nn Corporate Social Responsibility Disclosure: Case Study of Islamic Banking in Indonesia","type":"article-journal","volume":"10"},"uris":["http://www.mendeley.com/documents/?uuid=d690bc2c-d9ac-310f-bd42-8603c6e43d9b"]}],"mendeley":{"formattedCitation":"(Qoyum et al., 2017)","manualFormatting":"Qoyum et al., (2017)","plainTextFormattedCitation":"(Qoyum et al., 2017)","previouslyFormattedCitation":"(Qoyum et al., 2017)"},"properties":{"noteIndex":0},"schema":"https://github.com/citation-style-language/schema/raw/master/csl-citation.json"}</w:instrText>
      </w:r>
      <w:r w:rsidR="00067D6A">
        <w:fldChar w:fldCharType="separate"/>
      </w:r>
      <w:r w:rsidR="00067D6A" w:rsidRPr="00067D6A">
        <w:rPr>
          <w:noProof/>
        </w:rPr>
        <w:t xml:space="preserve">Qoyum et al., </w:t>
      </w:r>
      <w:r w:rsidR="00051EF0">
        <w:rPr>
          <w:noProof/>
        </w:rPr>
        <w:t>(</w:t>
      </w:r>
      <w:r w:rsidR="00067D6A" w:rsidRPr="00067D6A">
        <w:rPr>
          <w:noProof/>
        </w:rPr>
        <w:t>2017)</w:t>
      </w:r>
      <w:r w:rsidR="00067D6A">
        <w:fldChar w:fldCharType="end"/>
      </w:r>
      <w:r w:rsidR="000314BB">
        <w:t xml:space="preserve"> </w:t>
      </w:r>
      <w:r>
        <w:t xml:space="preserve">and </w:t>
      </w:r>
      <w:r w:rsidR="00CE463A" w:rsidRPr="00CD2709">
        <w:t xml:space="preserve"> </w:t>
      </w:r>
      <w:r w:rsidR="00F74D5E" w:rsidRPr="00CD2709">
        <w:fldChar w:fldCharType="begin" w:fldLock="1"/>
      </w:r>
      <w:r w:rsidR="00F74D5E" w:rsidRPr="00CD2709">
        <w:instrText>ADDIN CSL_CITATION {"citationItems":[{"id":"ITEM-1","itemData":{"DOI":"10.18196/jai.2102155","author":[{"dropping-particle":"","family":"Wahyono","given":"","non-dropping-particle":"","parse-names":false,"suffix":""},{"dropping-particle":"","family":"Eskasari","given":"Putri","non-dropping-particle":"","parse-names":false,"suffix":""},{"dropping-particle":"","family":"Cahya","given":"Bayu Tri","non-dropping-particle":"","parse-names":false,"suffix":""}],"id":"ITEM-1","issue":"2","issued":{"date-parts":[["2020"]]},"title":"Corporate Governance Strength , Firm ’ s Characteristics , and Islamic Social Report : Evidence from Jakarta Islamic Index","type":"article-journal","volume":"21"},"uris":["http://www.mendeley.com/documents/?uuid=6e831dd4-f5de-4fe0-91bd-9a990be0003c"]}],"mendeley":{"formattedCitation":"(Wahyono et al., 2020)","manualFormatting":"Putri &amp; Cahya, (2020)","plainTextFormattedCitation":"(Wahyono et al., 2020)","previouslyFormattedCitation":"(Wahyono et al., 2020)"},"properties":{"noteIndex":0},"schema":"https://github.com/citation-style-language/schema/raw/master/csl-citation.json"}</w:instrText>
      </w:r>
      <w:r w:rsidR="00F74D5E" w:rsidRPr="00CD2709">
        <w:fldChar w:fldCharType="separate"/>
      </w:r>
      <w:r w:rsidR="00F74D5E" w:rsidRPr="00CD2709">
        <w:rPr>
          <w:noProof/>
        </w:rPr>
        <w:t>Putri &amp; Cahya, (2020)</w:t>
      </w:r>
      <w:r w:rsidR="00F74D5E" w:rsidRPr="00CD2709">
        <w:fldChar w:fldCharType="end"/>
      </w:r>
      <w:r w:rsidR="00BF4D9F">
        <w:t xml:space="preserve"> </w:t>
      </w:r>
      <w:r>
        <w:t>that firm size has a significant positive effect on ISR disclosure. Meanwhile,</w:t>
      </w:r>
      <w:r w:rsidR="00442B2E" w:rsidRPr="00442B2E">
        <w:t xml:space="preserve"> </w:t>
      </w:r>
      <w:r>
        <w:t xml:space="preserve">the research of </w:t>
      </w:r>
      <w:r w:rsidR="005A0F82" w:rsidRPr="00CD2709">
        <w:fldChar w:fldCharType="begin" w:fldLock="1"/>
      </w:r>
      <w:r w:rsidR="005A0F82" w:rsidRPr="00CD2709">
        <w:instrText>ADDIN CSL_CITATION {"citationItems":[{"id":"ITEM-1","itemData":{"DOI":"10.9790/0837-2205107178","ISSN":"22790845","abstract":"Islamic Social Reporting (ISR) is a social reporting that involves not only a holistic expectation of the society regarding the role of the companies in the community but also a spiritual perspective. This study objective to obtain empirical evidence about the influences of corporate governance strength, media exposure, firm size, and profitability to the extent of Islamic Social Reporting and to find out the impact of ISR on firm value. To measure the extent of Islamic Social Reporting, the researchers used a checklist that had been developed based on the related rules and previous research. This study employed purposive sampling method from companies listed in Jakarta Islamic Index (JII) during 2012-2015. There are 67 companies which fulfill the criteria as the research samples. Meanwhile, the data analysis was conducted with Generalized Structured Component Analysis (GSCA). GSCA analysis is one of the Structural Equation Modellings (SEM) which is based on component (Component Based SEM). The results of this study show that corporate governance strength and profitability have positive significance on Islamic Social Reporting. However, firm size has negative significance while media exposure has no significant influence on Islamic Social Reporting. Furthermore, ISR is able to mediate the correlations of corporate governance strength, firm size, and profitability towards firm value.","author":[{"dropping-particle":"","family":"Cahya","given":"Bayu Tri","non-dropping-particle":"","parse-names":false,"suffix":""},{"dropping-particle":"","family":"Nuruddin","given":"Amiur","non-dropping-particle":"","parse-names":false,"suffix":""},{"dropping-particle":"","family":"Ikhsan","given":"Arfan","non-dropping-particle":"","parse-names":false,"suffix":""}],"container-title":"IOSR Journal of Humanities and Social Science","id":"ITEM-1","issue":"5","issued":{"date-parts":[["2017"]]},"page":"71-78","title":"Islamic Social Reporting: From the Perspectives of Corporate Governance Strength, Media Exposure and the Characteristics of Sharia Based Companies in Indonesia and its Impact On Firm Value","type":"article-journal","volume":"22"},"uris":["http://www.mendeley.com/documents/?uuid=b3af4fdd-ca70-4d16-b147-55a843d26912"]}],"mendeley":{"formattedCitation":"(Cahya et al., 2017)","manualFormatting":"Cahya et al., (2017)","plainTextFormattedCitation":"(Cahya et al., 2017)","previouslyFormattedCitation":"(Cahya et al., 2017)"},"properties":{"noteIndex":0},"schema":"https://github.com/citation-style-language/schema/raw/master/csl-citation.json"}</w:instrText>
      </w:r>
      <w:r w:rsidR="005A0F82" w:rsidRPr="00CD2709">
        <w:fldChar w:fldCharType="separate"/>
      </w:r>
      <w:r w:rsidR="005A0F82" w:rsidRPr="00CD2709">
        <w:rPr>
          <w:noProof/>
        </w:rPr>
        <w:t>Cahya et al., (2017)</w:t>
      </w:r>
      <w:r w:rsidR="005A0F82" w:rsidRPr="00CD2709">
        <w:fldChar w:fldCharType="end"/>
      </w:r>
      <w:r w:rsidR="005A0F82" w:rsidRPr="00CD2709">
        <w:t xml:space="preserve"> </w:t>
      </w:r>
      <w:r w:rsidR="005A0F82">
        <w:t>and</w:t>
      </w:r>
      <w:r w:rsidR="005A0F82" w:rsidRPr="00CD2709">
        <w:t xml:space="preserve"> </w:t>
      </w:r>
      <w:r w:rsidR="005A0F82" w:rsidRPr="00CD2709">
        <w:fldChar w:fldCharType="begin" w:fldLock="1"/>
      </w:r>
      <w:r w:rsidR="005A0F82" w:rsidRPr="00CD2709">
        <w:instrText>ADDIN CSL_CITATION {"citationItems":[{"id":"ITEM-1","itemData":{"author":[{"dropping-particle":"","family":"Fitranita","given":"Vika","non-dropping-particle":"","parse-names":false,"suffix":""},{"dropping-particle":"","family":"Wijayanti","given":"Indah Oktari","non-dropping-particle":"","parse-names":false,"suffix":""}],"container-title":"Journal Accounting and Finance Edisi Vol. 4 No. 1 Maret 2020","id":"ITEM-1","issue":"1","issued":{"date-parts":[["2020"]]},"title":"Profitabilitas, Ukuran Perusahaan, Kinerja lingkungan, Pertumbuhan Penjualan dan Leverage pada Pengungkapan Islamic Corporate Social Reporting","type":"article-journal","volume":"4"},"uris":["http://www.mendeley.com/documents/?uuid=ba3ab10e-3bbc-442a-b8df-7e5990720b85"]}],"mendeley":{"formattedCitation":"(Fitranita &amp; Wijayanti, 2020)","manualFormatting":"Fitranita &amp; Wijayanti, (2020)","plainTextFormattedCitation":"(Fitranita &amp; Wijayanti, 2020)","previouslyFormattedCitation":"(Fitranita &amp; Wijayanti, 2020)"},"properties":{"noteIndex":0},"schema":"https://github.com/citation-style-language/schema/raw/master/csl-citation.json"}</w:instrText>
      </w:r>
      <w:r w:rsidR="005A0F82" w:rsidRPr="00CD2709">
        <w:fldChar w:fldCharType="separate"/>
      </w:r>
      <w:r w:rsidR="005A0F82" w:rsidRPr="00CD2709">
        <w:rPr>
          <w:noProof/>
        </w:rPr>
        <w:t>Fitranita &amp; Wijayanti, (2020)</w:t>
      </w:r>
      <w:r w:rsidR="005A0F82" w:rsidRPr="00CD2709">
        <w:fldChar w:fldCharType="end"/>
      </w:r>
      <w:r>
        <w:t xml:space="preserve"> stated that company size has a negative effect on ISR disclosure.</w:t>
      </w:r>
    </w:p>
    <w:p w14:paraId="46A3AF84" w14:textId="77777777" w:rsidR="00521718" w:rsidRPr="002B4317" w:rsidRDefault="00373A35" w:rsidP="003B3AB3">
      <w:pPr>
        <w:pStyle w:val="Ventura-Content"/>
      </w:pPr>
      <w:r>
        <w:t xml:space="preserve">Leverage is a reflection of the financing of the company's operational activities originating from debt. The amount of the company's debt </w:t>
      </w:r>
      <w:r w:rsidR="009372FB" w:rsidRPr="009372FB">
        <w:t>reflects</w:t>
      </w:r>
      <w:r>
        <w:t xml:space="preserve"> how much the company's obligations and responsibilities are in ensuring the credibility of the creditors so that the company will make disclosures, especially on ICSR widely. This statement is supported by </w:t>
      </w:r>
      <w:r w:rsidR="008B59A9" w:rsidRPr="003C49A5">
        <w:fldChar w:fldCharType="begin" w:fldLock="1"/>
      </w:r>
      <w:r w:rsidR="008B59A9" w:rsidRPr="003C49A5">
        <w:instrText>ADDIN CSL_CITATION {"citationItems":[{"id":"ITEM-1","itemData":{"author":[{"dropping-particle":"","family":"Mukhibad","given":"Hasan","non-dropping-particle":"","parse-names":false,"suffix":""}],"id":"ITEM-1","issued":{"date-parts":[["2018"]]},"page":"299-311","title":"Peran dewan pengawas syariah dalam pengungkapan","type":"article-journal"},"uris":["http://www.mendeley.com/documents/?uuid=e53d8ae0-9935-4a20-9a3f-c01ea310c72d"]}],"mendeley":{"formattedCitation":"(Mukhibad, 2018)","manualFormatting":"Mukhibad (2018)","plainTextFormattedCitation":"(Mukhibad, 2018)","previouslyFormattedCitation":"(Mukhibad, 2018)"},"properties":{"noteIndex":0},"schema":"https://github.com/citation-style-language/schema/raw/master/csl-citation.json"}</w:instrText>
      </w:r>
      <w:r w:rsidR="008B59A9" w:rsidRPr="003C49A5">
        <w:fldChar w:fldCharType="separate"/>
      </w:r>
      <w:r w:rsidR="008B59A9" w:rsidRPr="003C49A5">
        <w:rPr>
          <w:noProof/>
        </w:rPr>
        <w:t>Mukhibad (2018)</w:t>
      </w:r>
      <w:r w:rsidR="008B59A9" w:rsidRPr="003C49A5">
        <w:fldChar w:fldCharType="end"/>
      </w:r>
      <w:r w:rsidR="008B59A9" w:rsidRPr="003C49A5">
        <w:t xml:space="preserve"> </w:t>
      </w:r>
      <w:r w:rsidR="008B59A9">
        <w:t>and</w:t>
      </w:r>
      <w:r w:rsidR="008B59A9" w:rsidRPr="003C49A5">
        <w:t xml:space="preserve"> </w:t>
      </w:r>
      <w:r w:rsidR="008B59A9" w:rsidRPr="003C49A5">
        <w:fldChar w:fldCharType="begin" w:fldLock="1"/>
      </w:r>
      <w:r w:rsidR="008B59A9" w:rsidRPr="003C49A5">
        <w:instrText>ADDIN CSL_CITATION {"citationItems":[{"id":"ITEM-1","itemData":{"author":[{"dropping-particle":"","family":"Fitranita","given":"Vika","non-dropping-particle":"","parse-names":false,"suffix":""},{"dropping-particle":"","family":"Wijayanti","given":"Indah Oktari","non-dropping-particle":"","parse-names":false,"suffix":""}],"container-title":"Journal Accounting and Finance Edisi Vol. 4 No. 1 Maret 2020","id":"ITEM-1","issue":"1","issued":{"date-parts":[["2020"]]},"title":"Profitabilitas, Ukuran Perusahaan, Kinerja lingkungan, Pertumbuhan Penjualan dan Leverage pada Pengungkapan Islamic Corporate Social Reporting","type":"article-journal","volume":"4"},"uris":["http://www.mendeley.com/documents/?uuid=ba3ab10e-3bbc-442a-b8df-7e5990720b85"]}],"mendeley":{"formattedCitation":"(Fitranita &amp; Wijayanti, 2020)","manualFormatting":"Fitranita &amp; Wijayanti (2020)","plainTextFormattedCitation":"(Fitranita &amp; Wijayanti, 2020)","previouslyFormattedCitation":"(Fitranita &amp; Wijayanti, 2020)"},"properties":{"noteIndex":0},"schema":"https://github.com/citation-style-language/schema/raw/master/csl-citation.json"}</w:instrText>
      </w:r>
      <w:r w:rsidR="008B59A9" w:rsidRPr="003C49A5">
        <w:fldChar w:fldCharType="separate"/>
      </w:r>
      <w:r w:rsidR="008B59A9" w:rsidRPr="003C49A5">
        <w:rPr>
          <w:noProof/>
        </w:rPr>
        <w:t>Fitranita &amp; Wijayanti (2020)</w:t>
      </w:r>
      <w:r w:rsidR="008B59A9" w:rsidRPr="003C49A5">
        <w:fldChar w:fldCharType="end"/>
      </w:r>
      <w:r>
        <w:t xml:space="preserve">. However, contrary to research by </w:t>
      </w:r>
      <w:r w:rsidR="002454E2" w:rsidRPr="003C49A5">
        <w:fldChar w:fldCharType="begin" w:fldLock="1"/>
      </w:r>
      <w:r w:rsidR="002454E2" w:rsidRPr="003C49A5">
        <w:instrText>ADDIN CSL_CITATION {"citationItems":[{"id":"ITEM-1","itemData":{"DOI":"10.20885/jaai.vol20.iss2.art6","ISSN":"14102420","abstract":"A B S T R A K Perkembangan perusahaan yang sesuai dengan syariah memberikan alternatif pilihan bagi stakeholder muslim untuk berinvestasi sesuai dengan syariah. Namun entitas bisnis syariah seharusnya memiliki identitas etis yang menunjukkan penerapan prinsip syariah dalam kegiatannya. Pengungkapan Corporate Social Responsibility (CSR) yang mengandung nilai- nilai Islam merupakan poin penting bagi perusahaan syariah untuk menunjukkan kinerjanya kepada stakeholder dan juga sejauh mana perusahaan melaksanakan kegiatan yang sesuai dengan syariah. Penelitian ini menguji faktor-faktor yang mempengaruhi pengungkapan CSR pada perusahaan yang terdaftar di Daftar Efek Syariah (DES) yaitu faktor leverage, likuiditas, bank pendukung, dewan komisaris wanita dan latar belakang pendidikan dewan komisaris. Penelitian ini menggunakan Ethical Identity Index yang dikembangkan oleh Haniffa dan Hudaib (2007). Hasil pengujian statistik menemukan bukti empiris bahwa variabel likuiditas dan latar belakang pendidikan dewan komisaris berpengaruh positif terhadap pengungkapan CSR di perusahaan di DES, variabel leverage dan dewan komisaris wanita berpengaruh negatif sementara bank pendukung tidak berpengaruh terhadap pengungkapan CSR. Pendahuluan","author":[{"dropping-particle":"","family":"Nugraheni","given":"Peni","non-dropping-particle":"","parse-names":false,"suffix":""},{"dropping-particle":"","family":"Permatasari","given":"Deasy","non-dropping-particle":"","parse-names":false,"suffix":""}],"container-title":"Jurnal Akuntansi &amp; Auditing Indonesia","id":"ITEM-1","issue":"2","issued":{"date-parts":[["2016"]]},"page":"136-146","title":"Perusahaan syariah dan pengungkapan corporate social responsibility: Analisis pengaruh faktor internal dan karakteristik perusahaan","type":"article-journal","volume":"20"},"uris":["http://www.mendeley.com/documents/?uuid=93a8f884-2954-4f80-8fb6-e7a95e6aee7c"]}],"mendeley":{"formattedCitation":"(Nugraheni &amp; Permatasari, 2016)","manualFormatting":"Nugraheni &amp; Permatasari, (2016)","plainTextFormattedCitation":"(Nugraheni &amp; Permatasari, 2016)","previouslyFormattedCitation":"(Nugraheni &amp; Permatasari, 2016)"},"properties":{"noteIndex":0},"schema":"https://github.com/citation-style-language/schema/raw/master/csl-citation.json"}</w:instrText>
      </w:r>
      <w:r w:rsidR="002454E2" w:rsidRPr="003C49A5">
        <w:fldChar w:fldCharType="separate"/>
      </w:r>
      <w:r w:rsidR="002454E2" w:rsidRPr="003C49A5">
        <w:rPr>
          <w:noProof/>
        </w:rPr>
        <w:t>Nugraheni &amp; Permatasari, (2016)</w:t>
      </w:r>
      <w:r w:rsidR="002454E2" w:rsidRPr="003C49A5">
        <w:fldChar w:fldCharType="end"/>
      </w:r>
      <w:r w:rsidR="002454E2" w:rsidRPr="003C49A5">
        <w:t xml:space="preserve"> </w:t>
      </w:r>
      <w:r w:rsidR="002454E2">
        <w:t>and</w:t>
      </w:r>
      <w:r w:rsidR="002454E2" w:rsidRPr="003C49A5">
        <w:t xml:space="preserve"> </w:t>
      </w:r>
      <w:r w:rsidR="002454E2" w:rsidRPr="003C49A5">
        <w:fldChar w:fldCharType="begin" w:fldLock="1"/>
      </w:r>
      <w:r w:rsidR="002454E2" w:rsidRPr="003C49A5">
        <w:instrText>ADDIN CSL_CITATION {"citationItems":[{"id":"ITEM-1","itemData":{"DOI":"10.14414/tiar.v8i2.1628","author":[{"dropping-particle":"","family":"Riyani","given":"Dinna","non-dropping-particle":"","parse-names":false,"suffix":""},{"dropping-particle":"","family":"Dewi","given":"Nurul Hasanah Uswati","non-dropping-particle":"","parse-names":false,"suffix":""}],"id":"ITEM-1","issue":"2","issued":{"date-parts":[["2018"]]},"page":"121-130","title":"The effect of corporate governance , leverage , and liquidity on Islamic Social Reporting ( ISR ) disclosure in Islamic commercial banks in Indonesia","type":"article-journal","volume":"8"},"uris":["http://www.mendeley.com/documents/?uuid=fce224f3-a8d4-45d8-88cc-2d46e1ba0aee"]}],"mendeley":{"formattedCitation":"(Riyani &amp; Dewi, 2018)","manualFormatting":"Riyani &amp; Dewi (2018)","plainTextFormattedCitation":"(Riyani &amp; Dewi, 2018)","previouslyFormattedCitation":"(Riyani &amp; Dewi, 2018)"},"properties":{"noteIndex":0},"schema":"https://github.com/citation-style-language/schema/raw/master/csl-citation.json"}</w:instrText>
      </w:r>
      <w:r w:rsidR="002454E2" w:rsidRPr="003C49A5">
        <w:fldChar w:fldCharType="separate"/>
      </w:r>
      <w:r w:rsidR="002454E2" w:rsidRPr="003C49A5">
        <w:rPr>
          <w:noProof/>
        </w:rPr>
        <w:t>Riyani &amp; Dewi (2018)</w:t>
      </w:r>
      <w:r w:rsidR="002454E2" w:rsidRPr="003C49A5">
        <w:fldChar w:fldCharType="end"/>
      </w:r>
      <w:r>
        <w:t xml:space="preserve"> that leverage affects ICSR disclosure.</w:t>
      </w:r>
    </w:p>
    <w:p w14:paraId="1091274F" w14:textId="77777777" w:rsidR="0089155B" w:rsidRDefault="00373A35" w:rsidP="0089155B">
      <w:pPr>
        <w:pStyle w:val="Ventura-Content"/>
      </w:pPr>
      <w:r>
        <w:t xml:space="preserve">Profitability is the profit earned by the company during operational activities. Large company profits can cause high funds disbursed by companies for CSR activities so that company profitability has an impact on ICSR disclosure. This statement is supported by </w:t>
      </w:r>
      <w:r w:rsidR="00306CC4" w:rsidRPr="007C1194">
        <w:rPr>
          <w:rFonts w:ascii="Times New Roman" w:hAnsi="Times New Roman"/>
          <w:szCs w:val="20"/>
        </w:rPr>
        <w:fldChar w:fldCharType="begin" w:fldLock="1"/>
      </w:r>
      <w:r w:rsidR="00306CC4" w:rsidRPr="007C1194">
        <w:rPr>
          <w:rFonts w:ascii="Times New Roman" w:hAnsi="Times New Roman"/>
          <w:szCs w:val="20"/>
        </w:rPr>
        <w:instrText>ADDIN CSL_CITATION {"citationItems":[{"id":"ITEM-1","itemData":{"DOI":"10.35591/wahana.v23i1.183","ISSN":"1410-8224","abstract":"Objective of this study is to analyze how the implementation of Corporate Social Responsibility by using Index Islamic Social Reporting (ISR) on Islamic Banking in Indonesia and to examine how the influence of Sharia Sipervisory Board (Dewan Pengawas Syariah – DPS), DPS conference, company size, profitability, leverage, and commissioners on the disclosure of Corporate Social Responsibility (CSR) in Islamic banking in Indonesia. The method used is quantitative analysis. This study population is all Islamic banking in Indonesia during the period 2011-2014. Samples are selected using purposive sampling method. Data analysis method used is multiple regression analysis. This research use secondary data from islamic banking annual report. Results of this study are all Islamic banking company has been doing CSR, size of the Sharia Supervisory Board, Sharia Supervisory Board conference, Company Size and Leverage does not affect the disclosure of CSR in Islamic banking, while profitability has a negative influence and board director has positive affect on disclosure CSR.","author":[{"dropping-particle":"","family":"Rahayu","given":"Ribut Sri","non-dropping-particle":"","parse-names":false,"suffix":""},{"dropping-particle":"","family":"Cahyati","given":"Ari Dewi","non-dropping-particle":"","parse-names":false,"suffix":""}],"container-title":"JRAK","id":"ITEM-1","issue":"2","issued":{"date-parts":[["2014"]]},"page":"74-87","title":"Faktor-Faktor Yang Mempengaruhi Pengungkapan Corporate Social Responsibility (CSR) pada Perbankan Syariah","type":"article-journal","volume":"5"},"uris":["http://www.mendeley.com/documents/?uuid=56a696df-8612-4a02-af29-76bdf1cb8ba2"]}],"mendeley":{"formattedCitation":"(R. S. Rahayu &amp; Cahyati, 2014)","manualFormatting":"Rahayu &amp; Cahyati (2014)","plainTextFormattedCitation":"(R. S. Rahayu &amp; Cahyati, 2014)","previouslyFormattedCitation":"(R. S. Rahayu &amp; Cahyati, 2014)"},"properties":{"noteIndex":0},"schema":"https://github.com/citation-style-language/schema/raw/master/csl-citation.json"}</w:instrText>
      </w:r>
      <w:r w:rsidR="00306CC4" w:rsidRPr="007C1194">
        <w:rPr>
          <w:rFonts w:ascii="Times New Roman" w:hAnsi="Times New Roman"/>
          <w:szCs w:val="20"/>
        </w:rPr>
        <w:fldChar w:fldCharType="separate"/>
      </w:r>
      <w:r w:rsidR="00306CC4" w:rsidRPr="007C1194">
        <w:rPr>
          <w:rFonts w:ascii="Times New Roman" w:hAnsi="Times New Roman"/>
          <w:noProof/>
          <w:szCs w:val="20"/>
        </w:rPr>
        <w:t>Rahayu &amp; Cahyati (2014)</w:t>
      </w:r>
      <w:r w:rsidR="00306CC4" w:rsidRPr="007C1194">
        <w:rPr>
          <w:rFonts w:ascii="Times New Roman" w:hAnsi="Times New Roman"/>
          <w:szCs w:val="20"/>
        </w:rPr>
        <w:fldChar w:fldCharType="end"/>
      </w:r>
      <w:r w:rsidR="00306CC4" w:rsidRPr="007C1194">
        <w:rPr>
          <w:rFonts w:ascii="Times New Roman" w:hAnsi="Times New Roman"/>
          <w:szCs w:val="20"/>
        </w:rPr>
        <w:t xml:space="preserve"> </w:t>
      </w:r>
      <w:r w:rsidR="00306CC4">
        <w:rPr>
          <w:rFonts w:ascii="Times New Roman" w:hAnsi="Times New Roman"/>
          <w:szCs w:val="20"/>
        </w:rPr>
        <w:t>and</w:t>
      </w:r>
      <w:r w:rsidR="00306CC4" w:rsidRPr="007C1194">
        <w:rPr>
          <w:rFonts w:ascii="Times New Roman" w:hAnsi="Times New Roman"/>
          <w:szCs w:val="20"/>
        </w:rPr>
        <w:t xml:space="preserve"> </w:t>
      </w:r>
      <w:r w:rsidR="00306CC4" w:rsidRPr="007C1194">
        <w:rPr>
          <w:rFonts w:ascii="Times New Roman" w:hAnsi="Times New Roman"/>
          <w:szCs w:val="20"/>
        </w:rPr>
        <w:fldChar w:fldCharType="begin" w:fldLock="1"/>
      </w:r>
      <w:r w:rsidR="00306CC4" w:rsidRPr="007C1194">
        <w:rPr>
          <w:rFonts w:ascii="Times New Roman" w:hAnsi="Times New Roman"/>
          <w:szCs w:val="20"/>
        </w:rPr>
        <w:instrText>ADDIN CSL_CITATION {"citationItems":[{"id":"ITEM-1","itemData":{"DOI":"10.18196/jai.180280","abstract":"The objective of this research is to obtain empirical evidence about the effect of commissioner board size, independent board of commisioner, audit committee size, profitability, and the environmental performance on Islamic Social Reporting (ISR) of companies which are in the Sharia Securities List (DES). The population of this research consisted of all companies under DES which joined PROPER environmental rating during 2011-2015. There were 31 companies were selected as samples based on purposive sampling method. The method employed to measure the ISR Disclosure was content analysis by scoring the items of social disclosure in the annual report of those companies. The multiple linier regression shows that the size of commisioner board, profitability, and environmental performance have positive effects on the disclosure of ISR, while the independence of commisioner board and audit committe do not affect the disclosure of ISR.","author":[{"dropping-particle":"","family":"Kurniawati","given":"Mahardhika","non-dropping-particle":"","parse-names":false,"suffix":""},{"dropping-particle":"","family":"Yaya","given":"Rizal","non-dropping-particle":"","parse-names":false,"suffix":""}],"id":"ITEM-1","issue":"2","issued":{"date-parts":[["2017"]]},"page":"163-171","title":"Pengaruh Mekanisme Corporate Governance , Kinerja Keuangan dan Kinerja Lingkungan terhadap Pengungkapan Islamic Social Reporting","type":"article-journal","volume":"18"},"uris":["http://www.mendeley.com/documents/?uuid=49fdb32a-ee58-4bf8-b20a-b28b8908f1bf"]}],"mendeley":{"formattedCitation":"(Kurniawati &amp; Yaya, 2017)","manualFormatting":"Kurniawati, (2017)","plainTextFormattedCitation":"(Kurniawati &amp; Yaya, 2017)","previouslyFormattedCitation":"(Kurniawati &amp; Yaya, 2017)"},"properties":{"noteIndex":0},"schema":"https://github.com/citation-style-language/schema/raw/master/csl-citation.json"}</w:instrText>
      </w:r>
      <w:r w:rsidR="00306CC4" w:rsidRPr="007C1194">
        <w:rPr>
          <w:rFonts w:ascii="Times New Roman" w:hAnsi="Times New Roman"/>
          <w:szCs w:val="20"/>
        </w:rPr>
        <w:fldChar w:fldCharType="separate"/>
      </w:r>
      <w:r w:rsidR="00306CC4" w:rsidRPr="007C1194">
        <w:rPr>
          <w:rFonts w:ascii="Times New Roman" w:hAnsi="Times New Roman"/>
          <w:noProof/>
          <w:szCs w:val="20"/>
        </w:rPr>
        <w:t>Kurniawati, (2017)</w:t>
      </w:r>
      <w:r w:rsidR="00306CC4" w:rsidRPr="007C1194">
        <w:rPr>
          <w:rFonts w:ascii="Times New Roman" w:hAnsi="Times New Roman"/>
          <w:szCs w:val="20"/>
        </w:rPr>
        <w:fldChar w:fldCharType="end"/>
      </w:r>
      <w:r w:rsidR="00571773" w:rsidRPr="00571773">
        <w:t>. However,</w:t>
      </w:r>
      <w:r>
        <w:t xml:space="preserve"> research by </w:t>
      </w:r>
      <w:r w:rsidR="001B36A1" w:rsidRPr="007C1194">
        <w:rPr>
          <w:rFonts w:ascii="Times New Roman" w:hAnsi="Times New Roman"/>
          <w:szCs w:val="20"/>
        </w:rPr>
        <w:fldChar w:fldCharType="begin" w:fldLock="1"/>
      </w:r>
      <w:r w:rsidR="001B36A1" w:rsidRPr="007C1194">
        <w:rPr>
          <w:rFonts w:ascii="Times New Roman" w:hAnsi="Times New Roman"/>
          <w:szCs w:val="20"/>
        </w:rPr>
        <w:instrText>ADDIN CSL_CITATION {"citationItems":[{"id":"ITEM-1","itemData":{"abstract":"Islamic Social Responbility (ISR) is an index of social responsibility disclosure (CSR) that has specific indicator on the ethical principles of Islam. In this study, assessment a level of CSR disclosure conducted on companies in the Jakarta Islamic Index (JII). This study aim to obtain an empirical evidence about the analysis of the factors that affect the disclosure of Corporate Social Responsibility (CSR). Factors used include profitability, types of industry, environmental performance and the size of the company. Measurement of Corporate Social Responsibility (CSR) is based on the category of Islamic Social Reporting (ISR) that used to calculate the Islamic Social Reporting index as seen from the company's annual report. This research is a quantitative research. The population of this research is all companies that listed in Jakarta Islamic Index totaling 30 companies sharia. The sampling technique used is Purposive sampling. The total sample is 16 companies sharia. Analysis of the data used to test classic assumptions and hypothesis testing with multiple regression method. The results of this study indicate that the environmental performance and the size of the company have a significant effect on the disclosure of Islamic Social Responbility. While profitability and industry type does not significantly affect the disclosure of Islamic Social Responbility in Indonesia.","author":[{"dropping-particle":"","family":"Fajrul Novrizal","given":"Muhammad","non-dropping-particle":"","parse-names":false,"suffix":""},{"dropping-particle":"","family":"Fitri","given":"Meutia","non-dropping-particle":"","parse-names":false,"suffix":""}],"container-title":"Jurnal Ilmiah Mahasiswa Ekonomi Akuntansi (JIMEKA)","id":"ITEM-1","issue":"2","issued":{"date-parts":[["2016"]]},"page":"1","title":"Faktor-Faktor yang Mempengaruhi Pengungkapan Corporate Social Responbility (CSR) pada Perusahaan yang Terdaftar di Jakarta Islamic Index (JII) tahun 2012-2015 dengan Menggunakan Islamic Social Reporting (ISR) Index sebagai Tolok Ukur","type":"article-journal","volume":"1"},"uris":["http://www.mendeley.com/documents/?uuid=70330551-801c-4f94-b9c9-d5fbfd73b8c0"]}],"mendeley":{"formattedCitation":"(Fajrul Novrizal &amp; Fitri, 2016)","manualFormatting":"Fajrul Novrizal &amp; Fitri, (2016)","plainTextFormattedCitation":"(Fajrul Novrizal &amp; Fitri, 2016)","previouslyFormattedCitation":"(Fajrul Novrizal &amp; Fitri, 2016)"},"properties":{"noteIndex":0},"schema":"https://github.com/citation-style-language/schema/raw/master/csl-citation.json"}</w:instrText>
      </w:r>
      <w:r w:rsidR="001B36A1" w:rsidRPr="007C1194">
        <w:rPr>
          <w:rFonts w:ascii="Times New Roman" w:hAnsi="Times New Roman"/>
          <w:szCs w:val="20"/>
        </w:rPr>
        <w:fldChar w:fldCharType="separate"/>
      </w:r>
      <w:r w:rsidR="001B36A1" w:rsidRPr="007C1194">
        <w:rPr>
          <w:rFonts w:ascii="Times New Roman" w:hAnsi="Times New Roman"/>
          <w:noProof/>
          <w:szCs w:val="20"/>
        </w:rPr>
        <w:t>Fajrul Novrizal &amp; Fitri, (2016)</w:t>
      </w:r>
      <w:r w:rsidR="001B36A1" w:rsidRPr="007C1194">
        <w:rPr>
          <w:rFonts w:ascii="Times New Roman" w:hAnsi="Times New Roman"/>
          <w:szCs w:val="20"/>
        </w:rPr>
        <w:fldChar w:fldCharType="end"/>
      </w:r>
      <w:r w:rsidR="001B36A1" w:rsidRPr="007C1194">
        <w:rPr>
          <w:rFonts w:ascii="Times New Roman" w:hAnsi="Times New Roman"/>
          <w:szCs w:val="20"/>
        </w:rPr>
        <w:t xml:space="preserve"> </w:t>
      </w:r>
      <w:r w:rsidR="003E14D7" w:rsidRPr="007C1194">
        <w:rPr>
          <w:rFonts w:ascii="Times New Roman" w:hAnsi="Times New Roman"/>
          <w:szCs w:val="20"/>
        </w:rPr>
        <w:t>an</w:t>
      </w:r>
      <w:r w:rsidR="003E14D7">
        <w:rPr>
          <w:rFonts w:ascii="Times New Roman" w:hAnsi="Times New Roman"/>
          <w:szCs w:val="20"/>
        </w:rPr>
        <w:t>d</w:t>
      </w:r>
      <w:r w:rsidR="001B36A1" w:rsidRPr="007C1194">
        <w:rPr>
          <w:rFonts w:ascii="Times New Roman" w:hAnsi="Times New Roman"/>
          <w:szCs w:val="20"/>
        </w:rPr>
        <w:t xml:space="preserve"> </w:t>
      </w:r>
      <w:r w:rsidR="001B36A1" w:rsidRPr="007C1194">
        <w:rPr>
          <w:rFonts w:ascii="Times New Roman" w:hAnsi="Times New Roman"/>
          <w:szCs w:val="20"/>
        </w:rPr>
        <w:fldChar w:fldCharType="begin" w:fldLock="1"/>
      </w:r>
      <w:r w:rsidR="001B36A1" w:rsidRPr="007C1194">
        <w:rPr>
          <w:rFonts w:ascii="Times New Roman" w:hAnsi="Times New Roman"/>
          <w:szCs w:val="20"/>
        </w:rPr>
        <w:instrText>ADDIN CSL_CITATION {"citationItems":[{"id":"ITEM-1","itemData":{"DOI":"10.18196/jai.2102155","author":[{"dropping-particle":"","family":"Wahyono","given":"","non-dropping-particle":"","parse-names":false,"suffix":""},{"dropping-particle":"","family":"Eskasari","given":"Putri","non-dropping-particle":"","parse-names":false,"suffix":""},{"dropping-particle":"","family":"Cahya","given":"Bayu Tri","non-dropping-particle":"","parse-names":false,"suffix":""}],"id":"ITEM-1","issue":"2","issued":{"date-parts":[["2020"]]},"title":"Corporate Governance Strength , Firm ’ s Characteristics , and Islamic Social Report : Evidence from Jakarta Islamic Index","type":"article-journal","volume":"21"},"uris":["http://www.mendeley.com/documents/?uuid=6e831dd4-f5de-4fe0-91bd-9a990be0003c"]}],"mendeley":{"formattedCitation":"(Wahyono et al., 2020)","manualFormatting":"Wahyono et al. (2020)","plainTextFormattedCitation":"(Wahyono et al., 2020)","previouslyFormattedCitation":"(Wahyono et al., 2020)"},"properties":{"noteIndex":0},"schema":"https://github.com/citation-style-language/schema/raw/master/csl-citation.json"}</w:instrText>
      </w:r>
      <w:r w:rsidR="001B36A1" w:rsidRPr="007C1194">
        <w:rPr>
          <w:rFonts w:ascii="Times New Roman" w:hAnsi="Times New Roman"/>
          <w:szCs w:val="20"/>
        </w:rPr>
        <w:fldChar w:fldCharType="separate"/>
      </w:r>
      <w:r w:rsidR="001B36A1" w:rsidRPr="007C1194">
        <w:rPr>
          <w:rFonts w:ascii="Times New Roman" w:hAnsi="Times New Roman"/>
          <w:noProof/>
          <w:szCs w:val="20"/>
        </w:rPr>
        <w:t>Wahyono et al. (2020)</w:t>
      </w:r>
      <w:r w:rsidR="001B36A1" w:rsidRPr="007C1194">
        <w:rPr>
          <w:rFonts w:ascii="Times New Roman" w:hAnsi="Times New Roman"/>
          <w:szCs w:val="20"/>
        </w:rPr>
        <w:fldChar w:fldCharType="end"/>
      </w:r>
      <w:r>
        <w:t xml:space="preserve"> states that profitability </w:t>
      </w:r>
      <w:r w:rsidR="00571773" w:rsidRPr="00571773">
        <w:t>does not affect</w:t>
      </w:r>
      <w:r>
        <w:t xml:space="preserve"> ICSR disclosure.</w:t>
      </w:r>
    </w:p>
    <w:p w14:paraId="2B9DB8B3" w14:textId="77777777" w:rsidR="00521718" w:rsidRPr="002B4317" w:rsidRDefault="00373A35" w:rsidP="0089155B">
      <w:pPr>
        <w:pStyle w:val="Ventura-Content"/>
      </w:pPr>
      <w:r>
        <w:t xml:space="preserve">Components in the corporate governance structure have an important role in every corporate decision-making, where each level of management has its role and function that causes differences in information disclosure. The size composition of </w:t>
      </w:r>
      <w:r>
        <w:lastRenderedPageBreak/>
        <w:t xml:space="preserve">each management structure is expected to be able to provide broad disclosure of corporate social information as evidence of management responsibility. This statement is supported by </w:t>
      </w:r>
      <w:r w:rsidR="00C06AC8" w:rsidRPr="00A2223F">
        <w:fldChar w:fldCharType="begin" w:fldLock="1"/>
      </w:r>
      <w:r w:rsidR="00C06AC8" w:rsidRPr="00A2223F">
        <w:instrText>ADDIN CSL_CITATION {"citationItems":[{"id":"ITEM-1","itemData":{"DOI":"10.14414/tiar.v8i2.1628","author":[{"dropping-particle":"","family":"Riyani","given":"Dinna","non-dropping-particle":"","parse-names":false,"suffix":""},{"dropping-particle":"","family":"Dewi","given":"Nurul Hasanah Uswati","non-dropping-particle":"","parse-names":false,"suffix":""}],"id":"ITEM-1","issue":"2","issued":{"date-parts":[["2018"]]},"page":"121-130","title":"The effect of corporate governance , leverage , and liquidity on Islamic Social Reporting ( ISR ) disclosure in Islamic commercial banks in Indonesia","type":"article-journal","volume":"8"},"uris":["http://www.mendeley.com/documents/?uuid=fce224f3-a8d4-45d8-88cc-2d46e1ba0aee"]}],"mendeley":{"formattedCitation":"(Riyani &amp; Dewi, 2018)","manualFormatting":"Riyani &amp; Dewi (2018)","plainTextFormattedCitation":"(Riyani &amp; Dewi, 2018)","previouslyFormattedCitation":"(Riyani &amp; Dewi, 2018)"},"properties":{"noteIndex":0},"schema":"https://github.com/citation-style-language/schema/raw/master/csl-citation.json"}</w:instrText>
      </w:r>
      <w:r w:rsidR="00C06AC8" w:rsidRPr="00A2223F">
        <w:fldChar w:fldCharType="separate"/>
      </w:r>
      <w:r w:rsidR="00C06AC8" w:rsidRPr="00A2223F">
        <w:rPr>
          <w:noProof/>
        </w:rPr>
        <w:t>Riyani &amp; Dewi (2018)</w:t>
      </w:r>
      <w:r w:rsidR="00C06AC8" w:rsidRPr="00A2223F">
        <w:fldChar w:fldCharType="end"/>
      </w:r>
      <w:r w:rsidR="00C06AC8" w:rsidRPr="00A2223F">
        <w:t xml:space="preserve"> </w:t>
      </w:r>
      <w:r w:rsidR="00C06AC8">
        <w:t>and</w:t>
      </w:r>
      <w:r w:rsidR="00C06AC8" w:rsidRPr="00A2223F">
        <w:t xml:space="preserve"> </w:t>
      </w:r>
      <w:r w:rsidR="00C06AC8" w:rsidRPr="00A2223F">
        <w:fldChar w:fldCharType="begin" w:fldLock="1"/>
      </w:r>
      <w:r w:rsidR="00C06AC8" w:rsidRPr="00A2223F">
        <w:instrText>ADDIN CSL_CITATION {"citationItems":[{"id":"ITEM-1","itemData":{"DOI":"10.28992/ijsam.v3i1.77","author":[{"dropping-particle":"","family":"Budi","given":"Ichsan Setiyo","non-dropping-particle":"","parse-names":false,"suffix":""},{"dropping-particle":"","family":"Rahmawati","given":"","non-dropping-particle":"","parse-names":false,"suffix":""},{"dropping-particle":"","family":"Falikhatun","given":"","non-dropping-particle":"","parse-names":false,"suffix":""},{"dropping-particle":"","family":"Muthmainah","given":"","non-dropping-particle":"","parse-names":false,"suffix":""},{"dropping-particle":"","family":"Gunardi","given":"Ardi","non-dropping-particle":"","parse-names":false,"suffix":""}],"container-title":"Indonesian Journal of Sustainability Accounting and Management","id":"ITEM-1","issue":"1","issued":{"date-parts":[["2019"]]},"title":"Financial Performance Mediation in the Influence of Islamic Corporate Governance Disclosure on the Islamic Social Reporting","type":"article-journal","volume":"3"},"uris":["http://www.mendeley.com/documents/?uuid=9b9df0b4-e294-45a6-9068-71d0e5255c25"]}],"mendeley":{"formattedCitation":"(Budi et al., 2019)","manualFormatting":"Budi et al. (2019)","plainTextFormattedCitation":"(Budi et al., 2019)","previouslyFormattedCitation":"(Budi et al., 2019)"},"properties":{"noteIndex":0},"schema":"https://github.com/citation-style-language/schema/raw/master/csl-citation.json"}</w:instrText>
      </w:r>
      <w:r w:rsidR="00C06AC8" w:rsidRPr="00A2223F">
        <w:fldChar w:fldCharType="separate"/>
      </w:r>
      <w:r w:rsidR="00C06AC8" w:rsidRPr="00A2223F">
        <w:rPr>
          <w:noProof/>
        </w:rPr>
        <w:t>Budi et al. (2019)</w:t>
      </w:r>
      <w:r w:rsidR="00C06AC8" w:rsidRPr="00A2223F">
        <w:fldChar w:fldCharType="end"/>
      </w:r>
      <w:r>
        <w:t xml:space="preserve"> which states that the corporate governance component affects ICSR disclosure. However, the study of </w:t>
      </w:r>
      <w:r w:rsidR="00D62C1A" w:rsidRPr="00E5431E">
        <w:fldChar w:fldCharType="begin" w:fldLock="1"/>
      </w:r>
      <w:r w:rsidR="00F44482">
        <w:instrText>ADDIN CSL_CITATION {"citationItems":[{"id":"ITEM-1","itemData":{"DOI":"10.21043/iqtishadia.v10i1.2365","author":[{"dropping-particle":"","family":"Qoyum","given":"Abdul","non-dropping-particle":"","parse-names":false,"suffix":""},{"dropping-particle":"","family":"Mutmainah","given":"Liyatul","non-dropping-particle":"","parse-names":false,"suffix":""},{"dropping-particle":"","family":"Setyono","given":"Joko","non-dropping-particle":"","parse-names":false,"suffix":""},{"dropping-particle":"","family":"Qizam","given":"Ibnu","non-dropping-particle":"","parse-names":false,"suffix":""}],"id":"ITEM-1","issued":{"date-parts":[["2017"]]},"title":"The Impact of Good Corporate Governance, Company Size nn Corporate Social Responsibility Disclosure: Case Study of Islamic Banking in Indonesia","type":"article-journal","volume":"10"},"uris":["http://www.mendeley.com/documents/?uuid=d690bc2c-d9ac-310f-bd42-8603c6e43d9b"]}],"mendeley":{"formattedCitation":"(Qoyum et al., 2017)","manualFormatting":"Qoyum et al., (2017)","plainTextFormattedCitation":"(Qoyum et al., 2017)","previouslyFormattedCitation":"(Qoyum et al., 2017)"},"properties":{"noteIndex":0},"schema":"https://github.com/citation-style-language/schema/raw/master/csl-citation.json"}</w:instrText>
      </w:r>
      <w:r w:rsidR="00D62C1A" w:rsidRPr="00E5431E">
        <w:fldChar w:fldCharType="separate"/>
      </w:r>
      <w:r w:rsidR="00D62C1A" w:rsidRPr="00E5431E">
        <w:rPr>
          <w:noProof/>
        </w:rPr>
        <w:t>Qoyum et al.</w:t>
      </w:r>
      <w:r w:rsidR="00D62C1A">
        <w:rPr>
          <w:noProof/>
        </w:rPr>
        <w:t>,</w:t>
      </w:r>
      <w:r w:rsidR="00D62C1A" w:rsidRPr="00E5431E">
        <w:rPr>
          <w:noProof/>
        </w:rPr>
        <w:t xml:space="preserve"> (2017)</w:t>
      </w:r>
      <w:r w:rsidR="00D62C1A" w:rsidRPr="00E5431E">
        <w:fldChar w:fldCharType="end"/>
      </w:r>
      <w:r w:rsidR="00D62C1A" w:rsidRPr="00E5431E">
        <w:t xml:space="preserve"> </w:t>
      </w:r>
      <w:r w:rsidR="00D62C1A">
        <w:t>and</w:t>
      </w:r>
      <w:r w:rsidR="00D62C1A" w:rsidRPr="00E5431E">
        <w:t xml:space="preserve"> </w:t>
      </w:r>
      <w:r w:rsidR="00D62C1A" w:rsidRPr="00E5431E">
        <w:fldChar w:fldCharType="begin" w:fldLock="1"/>
      </w:r>
      <w:r w:rsidR="00D62C1A">
        <w:instrText>ADDIN CSL_CITATION {"citationItems":[{"id":"ITEM-1","itemData":{"DOI":"10.18196/jai.180280","abstract":"The objective of this research is to obtain empirical evidence about the effect of commissioner board size, independent board of commisioner, audit committee size, profitability, and the environmental performance on Islamic Social Reporting (ISR) of companies which are in the Sharia Securities List (DES). The population of this research consisted of all companies under DES which joined PROPER environmental rating during 2011-2015. There were 31 companies were selected as samples based on purposive sampling method. The method employed to measure the ISR Disclosure was content analysis by scoring the items of social disclosure in the annual report of those companies. The multiple linier regression shows that the size of commisioner board, profitability, and environmental performance have positive effects on the disclosure of ISR, while the independence of commisioner board and audit committe do not affect the disclosure of ISR.","author":[{"dropping-particle":"","family":"Kurniawati","given":"Mahardhika","non-dropping-particle":"","parse-names":false,"suffix":""},{"dropping-particle":"","family":"Yaya","given":"Rizal","non-dropping-particle":"","parse-names":false,"suffix":""}],"id":"ITEM-1","issue":"2","issued":{"date-parts":[["2017"]]},"page":"163-171","title":"Pengaruh Mekanisme Corporate Governance , Kinerja Keuangan dan Kinerja Lingkungan terhadap Pengungkapan Islamic Social Reporting","type":"article-journal","volume":"18"},"uris":["http://www.mendeley.com/documents/?uuid=49fdb32a-ee58-4bf8-b20a-b28b8908f1bf"]}],"mendeley":{"formattedCitation":"(Kurniawati &amp; Yaya, 2017)","manualFormatting":"Kurniawati &amp; Yaya (2017)","plainTextFormattedCitation":"(Kurniawati &amp; Yaya, 2017)","previouslyFormattedCitation":"(Kurniawati &amp; Yaya, 2017)"},"properties":{"noteIndex":0},"schema":"https://github.com/citation-style-language/schema/raw/master/csl-citation.json"}</w:instrText>
      </w:r>
      <w:r w:rsidR="00D62C1A" w:rsidRPr="00E5431E">
        <w:fldChar w:fldCharType="separate"/>
      </w:r>
      <w:r w:rsidR="00D62C1A" w:rsidRPr="00E5431E">
        <w:rPr>
          <w:noProof/>
        </w:rPr>
        <w:t>Kurniawati &amp; Yaya (2017)</w:t>
      </w:r>
      <w:r w:rsidR="00D62C1A" w:rsidRPr="00E5431E">
        <w:fldChar w:fldCharType="end"/>
      </w:r>
      <w:r>
        <w:t xml:space="preserve"> state that the corporate governance component does not affect ICSR disclosure</w:t>
      </w:r>
      <w:r w:rsidRPr="002B4317">
        <w:t>.</w:t>
      </w:r>
    </w:p>
    <w:p w14:paraId="5CC36AF1" w14:textId="77777777" w:rsidR="00682AB0" w:rsidRPr="002B4317" w:rsidRDefault="00682AB0" w:rsidP="00682AB0">
      <w:pPr>
        <w:pStyle w:val="Ventura-Content"/>
      </w:pPr>
    </w:p>
    <w:p w14:paraId="4FEA7711" w14:textId="77777777" w:rsidR="00682AB0" w:rsidRPr="002B4317" w:rsidRDefault="00373A35" w:rsidP="00461F1A">
      <w:pPr>
        <w:pStyle w:val="Ventura-Heading1"/>
        <w:tabs>
          <w:tab w:val="left" w:pos="360"/>
        </w:tabs>
        <w:ind w:left="360" w:hanging="360"/>
      </w:pPr>
      <w:r>
        <w:t xml:space="preserve">2. </w:t>
      </w:r>
      <w:r w:rsidRPr="002B4317">
        <w:t>THEORETICAL FRAMEWORK AND HYPOTHESES</w:t>
      </w:r>
    </w:p>
    <w:p w14:paraId="70E6A702" w14:textId="77777777" w:rsidR="00D44C75" w:rsidRPr="005D3706" w:rsidRDefault="00373A35" w:rsidP="005D3706">
      <w:pPr>
        <w:pStyle w:val="Ventura-Content"/>
        <w:ind w:firstLine="0"/>
        <w:rPr>
          <w:b/>
          <w:bCs/>
        </w:rPr>
      </w:pPr>
      <w:r w:rsidRPr="005D3706">
        <w:rPr>
          <w:b/>
          <w:bCs/>
        </w:rPr>
        <w:t>Stakeholder Theory</w:t>
      </w:r>
    </w:p>
    <w:p w14:paraId="5BA1DDC7" w14:textId="77777777" w:rsidR="00416CE5" w:rsidRDefault="00373A35" w:rsidP="00416CE5">
      <w:pPr>
        <w:pStyle w:val="Ventura-Content"/>
      </w:pPr>
      <w:r>
        <w:t xml:space="preserve">According to Freeman (1994) stating Stakeholder theory or referred to as stakeholder theory states that all company activities are activities based on mutual interests between the company and stakeholders such as shareholders, creditors, consumers, and the government, and other related parties </w:t>
      </w:r>
      <w:r w:rsidR="003B2FDF" w:rsidRPr="00552F37">
        <w:fldChar w:fldCharType="begin" w:fldLock="1"/>
      </w:r>
      <w:r w:rsidR="003B2FDF" w:rsidRPr="00552F37">
        <w:instrText>ADDIN CSL_CITATION {"citationItems":[{"id":"ITEM-1","itemData":{"ISBN":"978-602-0896-51-9","author":[{"dropping-particle":"","family":"Ghozali","given":"Prof. Dr. Imam","non-dropping-particle":"","parse-names":false,"suffix":""}],"edition":"viii","editor":[{"dropping-particle":"","family":"Apriya","given":"","non-dropping-particle":"","parse-names":false,"suffix":""}],"id":"ITEM-1","issued":{"date-parts":[["2020"]]},"publisher":"Yoga Pratama","publisher-place":"Semarang","title":"25 Grand Theory (Teori Besar Ilmu Manajemen, Akuntansi dan Binis)","type":"book"},"uris":["http://www.mendeley.com/documents/?uuid=bed01cb2-0bdb-4cc5-8090-7f5d46c8a273"]}],"mendeley":{"formattedCitation":"(Ghozali, 2020)","manualFormatting":"(Ghozali, 2020:136)","plainTextFormattedCitation":"(Ghozali, 2020)","previouslyFormattedCitation":"(Ghozali, 2020)"},"properties":{"noteIndex":0},"schema":"https://github.com/citation-style-language/schema/raw/master/csl-citation.json"}</w:instrText>
      </w:r>
      <w:r w:rsidR="003B2FDF" w:rsidRPr="00552F37">
        <w:fldChar w:fldCharType="separate"/>
      </w:r>
      <w:r w:rsidR="003B2FDF" w:rsidRPr="00552F37">
        <w:rPr>
          <w:noProof/>
        </w:rPr>
        <w:t>(Ghozali, 2020:136)</w:t>
      </w:r>
      <w:r w:rsidR="003B2FDF" w:rsidRPr="00552F37">
        <w:fldChar w:fldCharType="end"/>
      </w:r>
      <w:r>
        <w:t>. Stakeholders are considered to be able to regulate or influence every trading activity of the company. Therefore, companies also need to disclose ICSR as a form of corporate communication with stakeholders.</w:t>
      </w:r>
    </w:p>
    <w:p w14:paraId="6BC6046A" w14:textId="77777777" w:rsidR="00476184" w:rsidRDefault="00373A35" w:rsidP="005E6729">
      <w:pPr>
        <w:pStyle w:val="Ventura-Content"/>
      </w:pPr>
      <w:r w:rsidRPr="0003270F">
        <w:t xml:space="preserve">The Company should provide detailed information to stakeholders, both mandatory and voluntary information. Based on sharia principles, the company's compliance with sharia provisions can maintain trust between the company and stakeholders in the company's sharia operations </w:t>
      </w:r>
      <w:r w:rsidR="00780BB6" w:rsidRPr="00552F37">
        <w:fldChar w:fldCharType="begin" w:fldLock="1"/>
      </w:r>
      <w:r w:rsidR="00780BB6" w:rsidRPr="00552F37">
        <w:instrText>ADDIN CSL_CITATION {"citationItems":[{"id":"ITEM-1","itemData":{"author":[{"dropping-particle":"","family":"Nugraheni","given":"Peni","non-dropping-particle":"","parse-names":false,"suffix":""}],"container-title":"Jurnal Akuntansi dan Auditing Indonesia","id":"ITEM-1","issue":"2","issued":{"date-parts":[["2018"]]},"title":"Sharia supervisory board and social performance of Indonesian Islamic banks","type":"article-journal","volume":"22"},"uris":["http://www.mendeley.com/documents/?uuid=bba5db21-493f-42eb-aa20-be17db43bc47"]}],"mendeley":{"formattedCitation":"(Nugraheni, 2018)","plainTextFormattedCitation":"(Nugraheni, 2018)","previouslyFormattedCitation":"(Nugraheni, 2018)"},"properties":{"noteIndex":0},"schema":"https://github.com/citation-style-language/schema/raw/master/csl-citation.json"}</w:instrText>
      </w:r>
      <w:r w:rsidR="00780BB6" w:rsidRPr="00552F37">
        <w:fldChar w:fldCharType="separate"/>
      </w:r>
      <w:r w:rsidR="00780BB6" w:rsidRPr="00552F37">
        <w:rPr>
          <w:noProof/>
        </w:rPr>
        <w:t>(Nugraheni, 2018)</w:t>
      </w:r>
      <w:r w:rsidR="00780BB6" w:rsidRPr="00552F37">
        <w:fldChar w:fldCharType="end"/>
      </w:r>
      <w:r w:rsidRPr="0003270F">
        <w:t xml:space="preserve">. The CSR report or the company's sustainability report is one of the information needed by stakeholders in </w:t>
      </w:r>
      <w:r w:rsidR="00416CE5">
        <w:t>providing a special assessment of the company</w:t>
      </w:r>
      <w:r w:rsidRPr="0003270F">
        <w:t xml:space="preserve">, namely by looking at the </w:t>
      </w:r>
      <w:r w:rsidR="00416CE5">
        <w:t xml:space="preserve">company's </w:t>
      </w:r>
      <w:r w:rsidRPr="0003270F">
        <w:t xml:space="preserve">responsibilities and </w:t>
      </w:r>
      <w:r w:rsidR="00416CE5">
        <w:t>roles</w:t>
      </w:r>
      <w:r w:rsidRPr="0003270F">
        <w:t xml:space="preserve"> towards the surrounding environment. Companies that carry out and practice their social activities have added value among investors. This is to make the company's consideration to always prioritize corporate social responsibility</w:t>
      </w:r>
      <w:r w:rsidRPr="00476184">
        <w:t>.</w:t>
      </w:r>
      <w:r w:rsidRPr="002B4317">
        <w:t xml:space="preserve"> </w:t>
      </w:r>
    </w:p>
    <w:p w14:paraId="26A450A5" w14:textId="77777777" w:rsidR="001C2435" w:rsidRPr="001C2435" w:rsidRDefault="00373A35" w:rsidP="001C2435">
      <w:pPr>
        <w:pStyle w:val="Ventura-Content"/>
        <w:ind w:firstLine="0"/>
        <w:rPr>
          <w:b/>
          <w:bCs/>
        </w:rPr>
      </w:pPr>
      <w:r w:rsidRPr="001C2435">
        <w:rPr>
          <w:b/>
          <w:bCs/>
        </w:rPr>
        <w:t>Legitimacy Theory</w:t>
      </w:r>
    </w:p>
    <w:p w14:paraId="08B6806B" w14:textId="77777777" w:rsidR="00476184" w:rsidRDefault="00373A35" w:rsidP="001C2435">
      <w:pPr>
        <w:pStyle w:val="Ventura-Content"/>
      </w:pPr>
      <w:r>
        <w:t xml:space="preserve">According to Deegan (2002) states Legitimacy theory or referred to as legitimacy theory is a theory that has relevance to the disclosure of social responsibility </w:t>
      </w:r>
      <w:r w:rsidR="00324C05" w:rsidRPr="00D06F53">
        <w:fldChar w:fldCharType="begin" w:fldLock="1"/>
      </w:r>
      <w:r w:rsidR="00324C05" w:rsidRPr="00D06F53">
        <w:instrText>ADDIN CSL_CITATION {"citationItems":[{"id":"ITEM-1","itemData":{"DOI":"10.20885/jaai.vol20.iss2.art6","ISSN":"14102420","abstract":"A B S T R A K Perkembangan perusahaan yang sesuai dengan syariah memberikan alternatif pilihan bagi stakeholder muslim untuk berinvestasi sesuai dengan syariah. Namun entitas bisnis syariah seharusnya memiliki identitas etis yang menunjukkan penerapan prinsip syariah dalam kegiatannya. Pengungkapan Corporate Social Responsibility (CSR) yang mengandung nilai- nilai Islam merupakan poin penting bagi perusahaan syariah untuk menunjukkan kinerjanya kepada stakeholder dan juga sejauh mana perusahaan melaksanakan kegiatan yang sesuai dengan syariah. Penelitian ini menguji faktor-faktor yang mempengaruhi pengungkapan CSR pada perusahaan yang terdaftar di Daftar Efek Syariah (DES) yaitu faktor leverage, likuiditas, bank pendukung, dewan komisaris wanita dan latar belakang pendidikan dewan komisaris. Penelitian ini menggunakan Ethical Identity Index yang dikembangkan oleh Haniffa dan Hudaib (2007). Hasil pengujian statistik menemukan bukti empiris bahwa variabel likuiditas dan latar belakang pendidikan dewan komisaris berpengaruh positif terhadap pengungkapan CSR di perusahaan di DES, variabel leverage dan dewan komisaris wanita berpengaruh negatif sementara bank pendukung tidak berpengaruh terhadap pengungkapan CSR. Pendahuluan","author":[{"dropping-particle":"","family":"Nugraheni","given":"Peni","non-dropping-particle":"","parse-names":false,"suffix":""},{"dropping-particle":"","family":"Permatasari","given":"Deasy","non-dropping-particle":"","parse-names":false,"suffix":""}],"container-title":"Jurnal Akuntansi &amp; Auditing Indonesia","id":"ITEM-1","issue":"2","issued":{"date-parts":[["2016"]]},"page":"136-146","title":"Perusahaan syariah dan pengungkapan corporate social responsibility: Analisis pengaruh faktor internal dan karakteristik perusahaan","type":"article-journal","volume":"20"},"uris":["http://www.mendeley.com/documents/?uuid=93a8f884-2954-4f80-8fb6-e7a95e6aee7c"]}],"mendeley":{"formattedCitation":"(Nugraheni &amp; Permatasari, 2016)","plainTextFormattedCitation":"(Nugraheni &amp; Permatasari, 2016)","previouslyFormattedCitation":"(Nugraheni &amp; Permatasari, 2016)"},"properties":{"noteIndex":0},"schema":"https://github.com/citation-style-language/schema/raw/master/csl-citation.json"}</w:instrText>
      </w:r>
      <w:r w:rsidR="00324C05" w:rsidRPr="00D06F53">
        <w:fldChar w:fldCharType="separate"/>
      </w:r>
      <w:r w:rsidR="00324C05" w:rsidRPr="00D06F53">
        <w:rPr>
          <w:noProof/>
        </w:rPr>
        <w:t>(Nugraheni &amp; Permatasari, 2016)</w:t>
      </w:r>
      <w:r w:rsidR="00324C05" w:rsidRPr="00D06F53">
        <w:fldChar w:fldCharType="end"/>
      </w:r>
      <w:r>
        <w:t xml:space="preserve">. In the theory of legitimacy, companies are considered to have a social commitment between the company and the community around the company's environment to get support from the community. Legitimacy theory is the company's initial foundation in building company values or norms in conducting social interactions and the surrounding environment </w:t>
      </w:r>
      <w:r w:rsidR="00A26B80" w:rsidRPr="00D06F53">
        <w:fldChar w:fldCharType="begin" w:fldLock="1"/>
      </w:r>
      <w:r w:rsidR="00A26B80" w:rsidRPr="00D06F53">
        <w:instrText>ADDIN CSL_CITATION {"citationItems":[{"id":"ITEM-1","itemData":{"DOI":"10.18196/jai.180280","abstract":"The objective of this research is to obtain empirical evidence about the effect of commissioner board size, independent board of commisioner, audit committee size, profitability, and the environmental performance on Islamic Social Reporting (ISR) of companies which are in the Sharia Securities List (DES). The population of this research consisted of all companies under DES which joined PROPER environmental rating during 2011-2015. There were 31 companies were selected as samples based on purposive sampling method. The method employed to measure the ISR Disclosure was content analysis by scoring the items of social disclosure in the annual report of those companies. The multiple linier regression shows that the size of commisioner board, profitability, and environmental performance have positive effects on the disclosure of ISR, while the independence of commisioner board and audit committe do not affect the disclosure of ISR.","author":[{"dropping-particle":"","family":"Kurniawati","given":"Mahardhika","non-dropping-particle":"","parse-names":false,"suffix":""},{"dropping-particle":"","family":"Yaya","given":"Rizal","non-dropping-particle":"","parse-names":false,"suffix":""}],"id":"ITEM-1","issue":"2","issued":{"date-parts":[["2017"]]},"page":"163-171","title":"Pengaruh Mekanisme Corporate Governance , Kinerja Keuangan dan Kinerja Lingkungan terhadap Pengungkapan Islamic Social Reporting","type":"article-journal","volume":"18"},"uris":["http://www.mendeley.com/documents/?uuid=49fdb32a-ee58-4bf8-b20a-b28b8908f1bf"]}],"mendeley":{"formattedCitation":"(Kurniawati &amp; Yaya, 2017)","plainTextFormattedCitation":"(Kurniawati &amp; Yaya, 2017)","previouslyFormattedCitation":"(Kurniawati &amp; Yaya, 2017)"},"properties":{"noteIndex":0},"schema":"https://github.com/citation-style-language/schema/raw/master/csl-citation.json"}</w:instrText>
      </w:r>
      <w:r w:rsidR="00A26B80" w:rsidRPr="00D06F53">
        <w:fldChar w:fldCharType="separate"/>
      </w:r>
      <w:r w:rsidR="00A26B80" w:rsidRPr="00D06F53">
        <w:rPr>
          <w:noProof/>
        </w:rPr>
        <w:t>(Kurniawati &amp; Yaya, 2017)</w:t>
      </w:r>
      <w:r w:rsidR="00A26B80" w:rsidRPr="00D06F53">
        <w:fldChar w:fldCharType="end"/>
      </w:r>
      <w:r>
        <w:t>. The implementa</w:t>
      </w:r>
      <w:r>
        <w:t xml:space="preserve">tion of CSR for companies is a form of corporate responsibility to the surrounding environment both in terms of nature and the community environment. The company's operational activities have an impact either directly or indirectly on the environment so that </w:t>
      </w:r>
      <w:r w:rsidR="002F463E" w:rsidRPr="002F463E">
        <w:t>the company</w:t>
      </w:r>
      <w:r>
        <w:t xml:space="preserve"> must continue to pay attention to </w:t>
      </w:r>
      <w:r w:rsidR="002F463E" w:rsidRPr="002F463E">
        <w:t>its</w:t>
      </w:r>
      <w:r>
        <w:t xml:space="preserve"> environment as a form of social responsibility.</w:t>
      </w:r>
      <w:r w:rsidRPr="002B4317">
        <w:t xml:space="preserve"> </w:t>
      </w:r>
    </w:p>
    <w:p w14:paraId="5C693E5E" w14:textId="77777777" w:rsidR="00412828" w:rsidRPr="00412828" w:rsidRDefault="00373A35" w:rsidP="00412828">
      <w:pPr>
        <w:pStyle w:val="Ventura-Content"/>
        <w:ind w:firstLine="0"/>
        <w:rPr>
          <w:b/>
          <w:bCs/>
        </w:rPr>
      </w:pPr>
      <w:r w:rsidRPr="00412828">
        <w:rPr>
          <w:b/>
          <w:bCs/>
        </w:rPr>
        <w:t>Islamic Corporate Social Responsibility</w:t>
      </w:r>
    </w:p>
    <w:p w14:paraId="4C8A9083" w14:textId="77777777" w:rsidR="00502F0D" w:rsidRDefault="00373A35" w:rsidP="00502F0D">
      <w:pPr>
        <w:pStyle w:val="Ventura-Content"/>
      </w:pPr>
      <w:r>
        <w:t xml:space="preserve">ICSR disclosure is information about the activities of Islamic companies in creating social and environmental sustainability </w:t>
      </w:r>
      <w:r w:rsidR="00DD0E7B" w:rsidRPr="00DD5BE9">
        <w:fldChar w:fldCharType="begin" w:fldLock="1"/>
      </w:r>
      <w:r w:rsidR="00DD0E7B" w:rsidRPr="00DD5BE9">
        <w:instrText>ADDIN CSL_CITATION {"citationItems":[{"id":"ITEM-1","itemData":{"DOI":"10.20885/jaai.vol20.iss2.art6","ISSN":"14102420","abstract":"A B S T R A K Perkembangan perusahaan yang sesuai dengan syariah memberikan alternatif pilihan bagi stakeholder muslim untuk berinvestasi sesuai dengan syariah. Namun entitas bisnis syariah seharusnya memiliki identitas etis yang menunjukkan penerapan prinsip syariah dalam kegiatannya. Pengungkapan Corporate Social Responsibility (CSR) yang mengandung nilai- nilai Islam merupakan poin penting bagi perusahaan syariah untuk menunjukkan kinerjanya kepada stakeholder dan juga sejauh mana perusahaan melaksanakan kegiatan yang sesuai dengan syariah. Penelitian ini menguji faktor-faktor yang mempengaruhi pengungkapan CSR pada perusahaan yang terdaftar di Daftar Efek Syariah (DES) yaitu faktor leverage, likuiditas, bank pendukung, dewan komisaris wanita dan latar belakang pendidikan dewan komisaris. Penelitian ini menggunakan Ethical Identity Index yang dikembangkan oleh Haniffa dan Hudaib (2007). Hasil pengujian statistik menemukan bukti empiris bahwa variabel likuiditas dan latar belakang pendidikan dewan komisaris berpengaruh positif terhadap pengungkapan CSR di perusahaan di DES, variabel leverage dan dewan komisaris wanita berpengaruh negatif sementara bank pendukung tidak berpengaruh terhadap pengungkapan CSR. Pendahuluan","author":[{"dropping-particle":"","family":"Nugraheni","given":"Peni","non-dropping-particle":"","parse-names":false,"suffix":""},{"dropping-particle":"","family":"Permatasari","given":"Deasy","non-dropping-particle":"","parse-names":false,"suffix":""}],"container-title":"Jurnal Akuntansi &amp; Auditing Indonesia","id":"ITEM-1","issue":"2","issued":{"date-parts":[["2016"]]},"page":"136-146","title":"Perusahaan syariah dan pengungkapan corporate social responsibility: Analisis pengaruh faktor internal dan karakteristik perusahaan","type":"article-journal","volume":"20"},"uris":["http://www.mendeley.com/documents/?uuid=93a8f884-2954-4f80-8fb6-e7a95e6aee7c"]}],"mendeley":{"formattedCitation":"(Nugraheni &amp; Permatasari, 2016)","plainTextFormattedCitation":"(Nugraheni &amp; Permatasari, 2016)","previouslyFormattedCitation":"(Nugraheni &amp; Permatasari, 2016)"},"properties":{"noteIndex":0},"schema":"https://github.com/citation-style-language/schema/raw/master/csl-citation.json"}</w:instrText>
      </w:r>
      <w:r w:rsidR="00DD0E7B" w:rsidRPr="00DD5BE9">
        <w:fldChar w:fldCharType="separate"/>
      </w:r>
      <w:r w:rsidR="00DD0E7B" w:rsidRPr="00DD5BE9">
        <w:rPr>
          <w:noProof/>
        </w:rPr>
        <w:t>(Nugraheni &amp; Permatasari, 2016)</w:t>
      </w:r>
      <w:r w:rsidR="00DD0E7B" w:rsidRPr="00DD5BE9">
        <w:fldChar w:fldCharType="end"/>
      </w:r>
      <w:r>
        <w:t xml:space="preserve">. Implementation of CSR based on sharia principles, namely by prioritizing Islamic ethics and business </w:t>
      </w:r>
      <w:r w:rsidR="009F2734" w:rsidRPr="00DD5BE9">
        <w:fldChar w:fldCharType="begin" w:fldLock="1"/>
      </w:r>
      <w:r w:rsidR="009F2734" w:rsidRPr="00DD5BE9">
        <w:instrText>ADDIN CSL_CITATION {"citationItems":[{"id":"ITEM-1","itemData":{"author":[{"dropping-particle":"","family":"Fitranita","given":"Vika","non-dropping-particle":"","parse-names":false,"suffix":""},{"dropping-particle":"","family":"Wijayanti","given":"Indah Oktari","non-dropping-particle":"","parse-names":false,"suffix":""}],"container-title":"Journal Accounting and Finance Edisi Vol. 4 No. 1 Maret 2020","id":"ITEM-1","issue":"1","issued":{"date-parts":[["2020"]]},"title":"Profitabilitas, Ukuran Perusahaan, Kinerja lingkungan, Pertumbuhan Penjualan dan Leverage pada Pengungkapan Islamic Corporate Social Reporting","type":"article-journal","volume":"4"},"uris":["http://www.mendeley.com/documents/?uuid=ba3ab10e-3bbc-442a-b8df-7e5990720b85"]}],"mendeley":{"formattedCitation":"(Fitranita &amp; Wijayanti, 2020)","plainTextFormattedCitation":"(Fitranita &amp; Wijayanti, 2020)","previouslyFormattedCitation":"(Fitranita &amp; Wijayanti, 2020)"},"properties":{"noteIndex":0},"schema":"https://github.com/citation-style-language/schema/raw/master/csl-citation.json"}</w:instrText>
      </w:r>
      <w:r w:rsidR="009F2734" w:rsidRPr="00DD5BE9">
        <w:fldChar w:fldCharType="separate"/>
      </w:r>
      <w:r w:rsidR="009F2734" w:rsidRPr="00DD5BE9">
        <w:rPr>
          <w:noProof/>
        </w:rPr>
        <w:t>(Fitranita &amp; Wijayanti, 2020)</w:t>
      </w:r>
      <w:r w:rsidR="009F2734" w:rsidRPr="00DD5BE9">
        <w:fldChar w:fldCharType="end"/>
      </w:r>
      <w:r>
        <w:t xml:space="preserve">. Therefore, the company's operational activities are not corrupt activities and activities that provide guarantees that are not following their portion. The implementation of ICSR is a manifestation of the practice of Islamic companies in practicing the basic philosophy of the Qur'an and As-Sunnah </w:t>
      </w:r>
      <w:r w:rsidR="00164C11" w:rsidRPr="00DD5BE9">
        <w:fldChar w:fldCharType="begin" w:fldLock="1"/>
      </w:r>
      <w:r w:rsidR="00164C11">
        <w:instrText>ADDIN CSL_CITATION {"citationItems":[{"id":"ITEM-1","itemData":{"DOI":"10.30595/kompartemen.v15i2.1876","ISSN":"1693-1084","abstract":"The purpose of this research is to evaluate the data shown by Corporate Social Responsibility at shareea banks in Indonesia, which analyzed by ISR index. This research used a sampling method. The samples which are used for the purpose of this research are the purposive sampling taken from shareea banks at Indonesia which already registered on 2015 and 2016. The result of this research showed that Indonesia Muamalat Bank scored the highest at CSR at 86% and disclosed consistently, while Victoria Bank of Indonesia scored the lowest at 54%. The data also showed that there were four shareea banks which ranked as very informative, they were: Indonesia Muamalat Bank, Shareea Bank of Indonesia Nation, Mandiri Shareea Bank, and Central Asia Bank. There were also five shareea banks which simply ranked informative, they were: Mega Shareea Bank, Shareea Bank of Indonesia Citizen, Bukopin Shareea Bank, Shareea Bank of Banten of West Java and Panin Shareea Bank. Last, there were two banks which are evaluated as less informative namely Shareea Bank of Maybank Indonesia and Victoria Shareea Bank.Keywords: Corporate Social Responsibility, Shareea Banks, ISR index.","author":[{"dropping-particle":"","family":"Sawitri","given":"Desy Retma","non-dropping-particle":"","parse-names":false,"suffix":""},{"dropping-particle":"","family":"Juanda","given":"Ahmad","non-dropping-particle":"","parse-names":false,"suffix":""},{"dropping-particle":"","family":"Jati","given":"A Waluya","non-dropping-particle":"","parse-names":false,"suffix":""}],"container-title":"Kompartemen: Jurnal Ilmiah Akuntansi","id":"ITEM-1","issue":"2","issued":{"date-parts":[["2017","11","24"]]},"publisher":"Lembaga Publikasi Ilmiah dan Penerbitan Universitas Muhammadiyah Purwokerto","title":"Analisis Pengungkapan Corporate Social Responsibility Perbankan Syariah Indonesia Berdasarkan Islamic Social Reporting Index","type":"article-journal","volume":"15"},"uris":["http://www.mendeley.com/documents/?uuid=ebb692e6-d8f6-3c5a-8e9c-bdd4f5c239f2"]}],"mendeley":{"formattedCitation":"(Sawitri et al., 2017b)","plainTextFormattedCitation":"(Sawitri et al., 2017b)","previouslyFormattedCitation":"(Sawitri et al., 2017b)"},"properties":{"noteIndex":0},"schema":"https://github.com/citation-style-language/schema/raw/master/csl-citation.json"}</w:instrText>
      </w:r>
      <w:r w:rsidR="00164C11" w:rsidRPr="00DD5BE9">
        <w:fldChar w:fldCharType="separate"/>
      </w:r>
      <w:r w:rsidR="00164C11" w:rsidRPr="00227891">
        <w:rPr>
          <w:noProof/>
        </w:rPr>
        <w:t>(Sawitri et al., 2017)</w:t>
      </w:r>
      <w:r w:rsidR="00164C11" w:rsidRPr="00DD5BE9">
        <w:fldChar w:fldCharType="end"/>
      </w:r>
      <w:r w:rsidR="00164C11">
        <w:t>.</w:t>
      </w:r>
    </w:p>
    <w:p w14:paraId="7AD6CECC" w14:textId="77777777" w:rsidR="00412828" w:rsidRDefault="00373A35" w:rsidP="00412828">
      <w:pPr>
        <w:pStyle w:val="Ventura-Content"/>
      </w:pPr>
      <w:r>
        <w:t xml:space="preserve">Islamic Social Reporting (ISR) is the entire activity of a sharia company which includes religious, economic, legal, ethical interests, and discretionary responsibilities as intermediary financial institutions for individuals and institutions. Islamic Social Reporting (ISR) is a special criterion that serves as the basis for making investment decisions in sharia-based companies in fulfilling accountability to Allah SWT and society </w:t>
      </w:r>
      <w:r w:rsidR="007065AA" w:rsidRPr="00DD5BE9">
        <w:fldChar w:fldCharType="begin" w:fldLock="1"/>
      </w:r>
      <w:r w:rsidR="007065AA" w:rsidRPr="00DD5BE9">
        <w:instrText>ADDIN CSL_CITATION {"citationItems":[{"id":"ITEM-1","itemData":{"DOI":"10.18196/jai.180280","abstract":"The objective of this research is to obtain empirical evidence about the effect of commissioner board size, independent board of commisioner, audit committee size, profitability, and the environmental performance on Islamic Social Reporting (ISR) of companies which are in the Sharia Securities List (DES). The population of this research consisted of all companies under DES which joined PROPER environmental rating during 2011-2015. There were 31 companies were selected as samples based on purposive sampling method. The method employed to measure the ISR Disclosure was content analysis by scoring the items of social disclosure in the annual report of those companies. The multiple linier regression shows that the size of commisioner board, profitability, and environmental performance have positive effects on the disclosure of ISR, while the independence of commisioner board and audit committe do not affect the disclosure of ISR.","author":[{"dropping-particle":"","family":"Kurniawati","given":"Mahardhika","non-dropping-particle":"","parse-names":false,"suffix":""},{"dropping-particle":"","family":"Yaya","given":"Rizal","non-dropping-particle":"","parse-names":false,"suffix":""}],"id":"ITEM-1","issue":"2","issued":{"date-parts":[["2017"]]},"page":"163-171","title":"Pengaruh Mekanisme Corporate Governance , Kinerja Keuangan dan Kinerja Lingkungan terhadap Pengungkapan Islamic Social Reporting","type":"article-journal","volume":"18"},"uris":["http://www.mendeley.com/documents/?uuid=49fdb32a-ee58-4bf8-b20a-b28b8908f1bf"]}],"mendeley":{"formattedCitation":"(Kurniawati &amp; Yaya, 2017)","plainTextFormattedCitation":"(Kurniawati &amp; Yaya, 2017)","previouslyFormattedCitation":"(Kurniawati &amp; Yaya, 2017)"},"properties":{"noteIndex":0},"schema":"https://github.com/citation-style-language/schema/raw/master/csl-citation.json"}</w:instrText>
      </w:r>
      <w:r w:rsidR="007065AA" w:rsidRPr="00DD5BE9">
        <w:fldChar w:fldCharType="separate"/>
      </w:r>
      <w:r w:rsidR="007065AA" w:rsidRPr="00DD5BE9">
        <w:rPr>
          <w:noProof/>
        </w:rPr>
        <w:t>(Kurniawati &amp; Yaya, 2017)</w:t>
      </w:r>
      <w:r w:rsidR="007065AA" w:rsidRPr="00DD5BE9">
        <w:fldChar w:fldCharType="end"/>
      </w:r>
      <w:r w:rsidR="00D65EC8">
        <w:t>.</w:t>
      </w:r>
    </w:p>
    <w:p w14:paraId="1DC866D1" w14:textId="77777777" w:rsidR="003A40F4" w:rsidRDefault="00373A35" w:rsidP="00412828">
      <w:pPr>
        <w:pStyle w:val="Ventura-Content"/>
      </w:pPr>
      <w:r>
        <w:t>The classification</w:t>
      </w:r>
      <w:r w:rsidR="00D65EC8">
        <w:t xml:space="preserve"> of the ISR index was </w:t>
      </w:r>
      <w:r>
        <w:t xml:space="preserve">obtained based on modifications from previous studies with </w:t>
      </w:r>
      <w:r w:rsidR="00D65EC8">
        <w:t>indicators</w:t>
      </w:r>
      <w:r>
        <w:t>;</w:t>
      </w:r>
      <w:r w:rsidR="00D65EC8">
        <w:t xml:space="preserve"> investment and finance, products and services, labor, social, environment, and </w:t>
      </w:r>
      <w:r>
        <w:t xml:space="preserve">corporate </w:t>
      </w:r>
      <w:r w:rsidR="00D65EC8">
        <w:t>governance</w:t>
      </w:r>
      <w:r>
        <w:t xml:space="preserve"> with </w:t>
      </w:r>
      <w:r w:rsidR="00D65EC8">
        <w:t xml:space="preserve">total disclosure of 58 items </w:t>
      </w:r>
      <w:r w:rsidR="00D90AEC" w:rsidRPr="00970695">
        <w:t>(</w:t>
      </w:r>
      <w:proofErr w:type="spellStart"/>
      <w:r w:rsidR="00D90AEC" w:rsidRPr="00970695">
        <w:fldChar w:fldCharType="begin" w:fldLock="1"/>
      </w:r>
      <w:r w:rsidR="00D90AEC" w:rsidRPr="00970695">
        <w:instrText>ADDIN CSL_CITATION {"citationItems":[{"id":"ITEM-1","itemData":{"DOI":"10.21043/iqtishadia.v10i1.2365","author":[{"dropping-particle":"","family":"Qoyum","given":"Abdul","non-dropping-particle":"","parse-names":false,"suffix":""},{"dropping-particle":"","family":"Mutmainah","given":"Liyatul","non-dropping-particle":"","parse-names":false,"suffix":""},{"dropping-particle":"","family":"Setyono","given":"Joko","non-dropping-particle":"","parse-names":false,"suffix":""},{"dropping-particle":"","family":"Qizam","given":"Ibnu","non-dropping-particle":"","parse-names":false,"suffix":""}],"id":"ITEM-1","issued":{"date-parts":[["2017"]]},"title":"The Impact of Good Corporate Governance, Company Size nn Corporate Social Responsibility Disclosure: Case Study of Islamic Banking in Indonesia","type":"article-journal","volume":"10"},"uris":["http://www.mendeley.com/documents/?uuid=d690bc2c-d9ac-310f-bd42-8603c6e43d9b"]}],"mendeley":{"formattedCitation":"(Qoyum et al., 2017)","manualFormatting":"Qoyum et al., 2017)","plainTextFormattedCitation":"(Qoyum et al., 2017)","previouslyFormattedCitation":"(Qoyum et al., 2017)"},"properties":{"noteIndex":0},"schema":"https://github.com/citation-style-language/schema/raw/master/csl-citation.json"}</w:instrText>
      </w:r>
      <w:r w:rsidR="00D90AEC" w:rsidRPr="00970695">
        <w:fldChar w:fldCharType="separate"/>
      </w:r>
      <w:r w:rsidR="00D90AEC" w:rsidRPr="00970695">
        <w:rPr>
          <w:noProof/>
        </w:rPr>
        <w:t>Qoyum</w:t>
      </w:r>
      <w:proofErr w:type="spellEnd"/>
      <w:r w:rsidR="00D90AEC" w:rsidRPr="00970695">
        <w:rPr>
          <w:noProof/>
        </w:rPr>
        <w:t xml:space="preserve"> et al., 2017)</w:t>
      </w:r>
      <w:r w:rsidR="00D90AEC" w:rsidRPr="00970695">
        <w:fldChar w:fldCharType="end"/>
      </w:r>
      <w:r w:rsidR="00D65EC8" w:rsidRPr="003A40F4">
        <w:t>.</w:t>
      </w:r>
    </w:p>
    <w:p w14:paraId="2C1D1966" w14:textId="77777777" w:rsidR="004C40C9" w:rsidRPr="004C40C9" w:rsidRDefault="00373A35" w:rsidP="004C40C9">
      <w:pPr>
        <w:pStyle w:val="Ventura-Content"/>
        <w:ind w:firstLine="0"/>
        <w:rPr>
          <w:b/>
          <w:bCs/>
        </w:rPr>
      </w:pPr>
      <w:r w:rsidRPr="004C40C9">
        <w:rPr>
          <w:b/>
          <w:bCs/>
        </w:rPr>
        <w:t>Public Share Ownership on Islamic Corporate Social Responsibility</w:t>
      </w:r>
    </w:p>
    <w:p w14:paraId="73641DBE" w14:textId="77777777" w:rsidR="004C40C9" w:rsidRDefault="00373A35" w:rsidP="004C40C9">
      <w:pPr>
        <w:pStyle w:val="Ventura-Content"/>
      </w:pPr>
      <w:r>
        <w:t xml:space="preserve">Public Shared Ownership is the number of distributions of company shares which are the rights of the public or the public. The sale of shares to the public indicates that more public investors are owned by the company. Therefore, the larger the company's shares are owned by the public, the greater the disclosure that should be made by the company. A large percentage of public shares is expected to be able to encourage companies to go public in disclosing overall social responsibility due to a lot of pressure from investors </w:t>
      </w:r>
      <w:r w:rsidR="00474315" w:rsidRPr="008D06B3">
        <w:rPr>
          <w:szCs w:val="20"/>
        </w:rPr>
        <w:fldChar w:fldCharType="begin" w:fldLock="1"/>
      </w:r>
      <w:r w:rsidR="00474315" w:rsidRPr="008D06B3">
        <w:rPr>
          <w:szCs w:val="20"/>
        </w:rPr>
        <w:instrText>ADDIN CSL_CITATION {"citationItems":[{"id":"ITEM-1","itemData":{"DOI":"10.23969/jrak.v9i1.368","ISSN":"2088-5091","abstract":"The Corporate Social Responsibility (CSR) in the company recently is not only based on the single bottom line which depends only on the financial condition, but also on the triple bottom line which also depends on the financial condition, environment and society. This study aims to get empirical evidence about the influence of public ownership and Return on Assets (ROA) on the disclosure of Corporate Social Responsibility. The object of the research is a service company listed on the Indonesia Stock Exchange in 2014-2015. Collection methods used in this research is the data sourced in an annual report published by the Indonesia Stock Exchange. The collection of samples used is purposive sampling technique. Total sample of this research are 9 service companies listed in Indonesia Stock Exchange in 2014-2015. Simultaneously, public ownership and ROAgave significant effect to CSR disclosure. Partially, public ownershipgave adversely affect to the direction of CSR disclosure. ROA effect with positive direction towards CSR.","author":[{"dropping-particle":"","family":"Hamdani","given":"Shifa Putri","non-dropping-particle":"","parse-names":false,"suffix":""},{"dropping-particle":"","family":"Yuliandari","given":"Willy Sri","non-dropping-particle":"","parse-names":false,"suffix":""},{"dropping-particle":"","family":"Budiono","given":"Eddy","non-dropping-particle":"","parse-names":false,"suffix":""}],"container-title":"Jrak","id":"ITEM-1","issue":"1","issued":{"date-parts":[["2017"]]},"page":"47","title":"Kepemilikan Saham Publik Dan Return on Assets Terhadap Pengungkapan Corporate Social Responsibility","type":"article-journal","volume":"9"},"uris":["http://www.mendeley.com/documents/?uuid=88b37405-998d-4be5-bc92-f86c9177ab9e"]}],"mendeley":{"formattedCitation":"(Hamdani et al., 2017)","plainTextFormattedCitation":"(Hamdani et al., 2017)","previouslyFormattedCitation":"(Hamdani et al., 2017)"},"properties":{"noteIndex":0},"schema":"https://github.com/citation-style-language/schema/raw/master/csl-citation.json"}</w:instrText>
      </w:r>
      <w:r w:rsidR="00474315" w:rsidRPr="008D06B3">
        <w:rPr>
          <w:szCs w:val="20"/>
        </w:rPr>
        <w:fldChar w:fldCharType="separate"/>
      </w:r>
      <w:r w:rsidR="00474315" w:rsidRPr="008D06B3">
        <w:rPr>
          <w:noProof/>
          <w:szCs w:val="20"/>
        </w:rPr>
        <w:t>(Hamdani et al., 2017)</w:t>
      </w:r>
      <w:r w:rsidR="00474315" w:rsidRPr="008D06B3">
        <w:rPr>
          <w:szCs w:val="20"/>
        </w:rPr>
        <w:fldChar w:fldCharType="end"/>
      </w:r>
      <w:r w:rsidR="00D65EC8">
        <w:t>.</w:t>
      </w:r>
    </w:p>
    <w:p w14:paraId="62D5EAFF" w14:textId="77777777" w:rsidR="004C40C9" w:rsidRDefault="00373A35" w:rsidP="004C40C9">
      <w:pPr>
        <w:pStyle w:val="Ventura-Content"/>
      </w:pPr>
      <w:r>
        <w:t xml:space="preserve">This </w:t>
      </w:r>
      <w:r w:rsidR="00B61258">
        <w:t>statement agrees</w:t>
      </w:r>
      <w:r>
        <w:t xml:space="preserve"> with research by </w:t>
      </w:r>
      <w:r w:rsidR="00574D75" w:rsidRPr="008D06B3">
        <w:rPr>
          <w:szCs w:val="20"/>
        </w:rPr>
        <w:fldChar w:fldCharType="begin" w:fldLock="1"/>
      </w:r>
      <w:r w:rsidR="00574D75" w:rsidRPr="008D06B3">
        <w:rPr>
          <w:szCs w:val="20"/>
        </w:rPr>
        <w:instrText>ADDIN CSL_CITATION {"citationItems":[{"id":"ITEM-1","itemData":{"DOI":"10.15294/aaj.v4i3.8300","ISSN":"2252-6765","abstract":"Penelitian ini bertujuan untuk memperoleh bukti secara empiris pengaruh kepemilikan saham publik, profitabilitas dan pengungkapan media terhadap pengungkapan tanggung jawab sosial. Populasi dalam penelitian ini adalah perusahaan property dan real estate yang terdaftar di Bursa Efek Indonesia tahun 2011-2013 berjumlah 46 perusahhan. Teknik pengambilan sampel dilakukan dengan metode purposive sampling yang menghasilkan 78 sampel selama tahun 2011-2013. Data yang digunakan merupakan data sekunder yang diambil melalui teknik dokumentasi yang terdiri dari annual report perusahaan property dan real estate tahun 2011-2013. Metode analisis data penelitian ini yaitu analisis regresi berganda. Berdasarkan analisis regresi linier berganda dan uji t menunjukkan bahwa kepemilikan saham publik berpengaruh positif terhadap pengungkapan tanggung jawab sosial. Profitabilitas dan pengungkapan media tidak berpengaruh terhadap pengungkapan tanggung jawab sosial. Penelitian selanjutnya dapat menggunakan media selain website perusahaan untuk variasi hasil penelitian.","author":[{"dropping-particle":"","family":"Rahayu","given":"Puji","non-dropping-particle":"","parse-names":false,"suffix":""},{"dropping-particle":"","family":"Aniskurillah","given":"Indah","non-dropping-particle":"","parse-names":false,"suffix":""}],"container-title":"Accounting Analysis Journal","id":"ITEM-1","issue":"3","issued":{"date-parts":[["2015"]]},"page":"1-9","title":"Pengaruh Kepemilikan Saham Publik, Profitabilitas Dan Media Terhadap Pengungkapan Tanggung Jawab Sosial","type":"article-journal","volume":"4"},"uris":["http://www.mendeley.com/documents/?uuid=b7090090-a106-41d0-af78-f3ec12f847df"]}],"mendeley":{"formattedCitation":"(P. Rahayu &amp; Aniskurillah, 2015)","manualFormatting":"Rahayu &amp; Aniskurillah (2015)","plainTextFormattedCitation":"(P. Rahayu &amp; Aniskurillah, 2015)","previouslyFormattedCitation":"(P. Rahayu &amp; Aniskurillah, 2015)"},"properties":{"noteIndex":0},"schema":"https://github.com/citation-style-language/schema/raw/master/csl-citation.json"}</w:instrText>
      </w:r>
      <w:r w:rsidR="00574D75" w:rsidRPr="008D06B3">
        <w:rPr>
          <w:szCs w:val="20"/>
        </w:rPr>
        <w:fldChar w:fldCharType="separate"/>
      </w:r>
      <w:r w:rsidR="00574D75" w:rsidRPr="008D06B3">
        <w:rPr>
          <w:noProof/>
          <w:szCs w:val="20"/>
        </w:rPr>
        <w:t>Rahayu &amp; Aniskurillah (2015)</w:t>
      </w:r>
      <w:r w:rsidR="00574D75" w:rsidRPr="008D06B3">
        <w:rPr>
          <w:szCs w:val="20"/>
        </w:rPr>
        <w:fldChar w:fldCharType="end"/>
      </w:r>
      <w:r w:rsidR="00574D75" w:rsidRPr="008D06B3">
        <w:rPr>
          <w:szCs w:val="20"/>
        </w:rPr>
        <w:t xml:space="preserve"> </w:t>
      </w:r>
      <w:r w:rsidR="00574D75">
        <w:rPr>
          <w:szCs w:val="20"/>
        </w:rPr>
        <w:t>and</w:t>
      </w:r>
      <w:r w:rsidR="00574D75" w:rsidRPr="008D06B3">
        <w:rPr>
          <w:szCs w:val="20"/>
        </w:rPr>
        <w:t xml:space="preserve"> </w:t>
      </w:r>
      <w:r w:rsidR="00574D75" w:rsidRPr="008D06B3">
        <w:rPr>
          <w:szCs w:val="20"/>
        </w:rPr>
        <w:fldChar w:fldCharType="begin" w:fldLock="1"/>
      </w:r>
      <w:r w:rsidR="00574D75" w:rsidRPr="008D06B3">
        <w:rPr>
          <w:szCs w:val="20"/>
        </w:rPr>
        <w:instrText>ADDIN CSL_CITATION {"citationItems":[{"id":"ITEM-1","itemData":{"abstract":"The study aims to examine the effect of company size, leverage, and public shareholding on the disclosure of corporate social responsibility. The research samples, which comprise of 36 companies of mining sector listed in the Indonesia Stock Exchange in 2014-2015, are selected by purposive sampling method. The type of data used is secondary data, and they are analyzed through multiple regression method to determine the effects of the variables. The results of the study show that company size and public shareholding have significant effect on corporate social responsibility disclosure. The larger the size of a company, the wider the corporate social responsibility the company will disclose. Meanwhile, leverage does not affect the corporate social responsibility disclosure. This shows that companies in the mining sector in Indonesia do not pay attention to the company’s leverage level in disclosing their corporate social responsibility.","author":[{"dropping-particle":"","family":"Kusuma","given":"Hanavistha Nadya","non-dropping-particle":"","parse-names":false,"suffix":""}],"container-title":"Jurnal Ilmiah Mahasiswa FEB Universitas Brawijaya","id":"ITEM-1","issue":"2","issued":{"date-parts":[["2016"]]},"title":"Pengaruh Ukuran Perusahaan,Leverage, Dan Kepemilikan Saham Publik Terhadap Luas Pengungkapan Csr Pada Perusahaan di Sektor Pertambangan Yang Terdaftar Di Bei Tahun 2014-2015","type":"article-journal","volume":"5"},"uris":["http://www.mendeley.com/documents/?uuid=1b6bcc83-083b-4fc2-9a10-9ba6156cb275"]}],"mendeley":{"formattedCitation":"(Kusuma, 2016)","manualFormatting":"Kusuma (2016)","plainTextFormattedCitation":"(Kusuma, 2016)","previouslyFormattedCitation":"(Kusuma, 2016)"},"properties":{"noteIndex":0},"schema":"https://github.com/citation-style-language/schema/raw/master/csl-citation.json"}</w:instrText>
      </w:r>
      <w:r w:rsidR="00574D75" w:rsidRPr="008D06B3">
        <w:rPr>
          <w:szCs w:val="20"/>
        </w:rPr>
        <w:fldChar w:fldCharType="separate"/>
      </w:r>
      <w:r w:rsidR="00574D75" w:rsidRPr="008D06B3">
        <w:rPr>
          <w:noProof/>
          <w:szCs w:val="20"/>
        </w:rPr>
        <w:t>Kusuma (2016)</w:t>
      </w:r>
      <w:r w:rsidR="00574D75" w:rsidRPr="008D06B3">
        <w:rPr>
          <w:szCs w:val="20"/>
        </w:rPr>
        <w:fldChar w:fldCharType="end"/>
      </w:r>
      <w:r>
        <w:t xml:space="preserve"> which states that public ownership has a positive influ</w:t>
      </w:r>
      <w:r>
        <w:lastRenderedPageBreak/>
        <w:t xml:space="preserve">ence on corporate CSR disclosure. It can be concluded that companies with a large percentage of public ownership tend to have greater pressure to disclose information in </w:t>
      </w:r>
      <w:r w:rsidR="00B61258">
        <w:t>sustainability reports and annual reports</w:t>
      </w:r>
      <w:r>
        <w:t>.</w:t>
      </w:r>
    </w:p>
    <w:p w14:paraId="43A524E8" w14:textId="77777777" w:rsidR="003A40F4" w:rsidRDefault="00373A35" w:rsidP="00B76826">
      <w:pPr>
        <w:pStyle w:val="Ventura-Content"/>
        <w:ind w:firstLine="0"/>
      </w:pPr>
      <w:r>
        <w:t>Hypothesis 1: Public Share Ownership has a positive effect on ICSR Disclosure</w:t>
      </w:r>
      <w:r w:rsidRPr="003A40F4">
        <w:t>.</w:t>
      </w:r>
    </w:p>
    <w:p w14:paraId="3185C42E" w14:textId="77777777" w:rsidR="00B76826" w:rsidRPr="00B76826" w:rsidRDefault="00373A35" w:rsidP="00B76826">
      <w:pPr>
        <w:pStyle w:val="Ventura-Content"/>
        <w:ind w:firstLine="0"/>
        <w:rPr>
          <w:b/>
          <w:bCs/>
        </w:rPr>
      </w:pPr>
      <w:r w:rsidRPr="00B76826">
        <w:rPr>
          <w:b/>
          <w:bCs/>
        </w:rPr>
        <w:t>Company Size on Islamic Corporate Social Responsibility</w:t>
      </w:r>
    </w:p>
    <w:p w14:paraId="73C3E1C3" w14:textId="77777777" w:rsidR="00B76826" w:rsidRDefault="00373A35" w:rsidP="00B76826">
      <w:pPr>
        <w:pStyle w:val="Ventura-Content"/>
      </w:pPr>
      <w:r>
        <w:t xml:space="preserve">Company size is a company benchmark based on a size that can indicate a company is declared as a small or large company. The size of the company identified can affect the extent of disclosure of company information in the annual report. The bigger a company, the more interested stakeholders are, in such conditions the company must make great efforts in shaping the alignment of social values </w:t>
      </w:r>
      <w:r>
        <w:rPr>
          <w:rFonts w:ascii="Times New Roman" w:hAnsi="Times New Roman"/>
        </w:rPr>
        <w:t>​​</w:t>
      </w:r>
      <w:r>
        <w:t xml:space="preserve">activities with behavioral norms in people's lives so that the larger the company will prioritize these interests to disclose wider information </w:t>
      </w:r>
      <w:r w:rsidR="00701C87" w:rsidRPr="00DA6431">
        <w:rPr>
          <w:szCs w:val="20"/>
        </w:rPr>
        <w:fldChar w:fldCharType="begin" w:fldLock="1"/>
      </w:r>
      <w:r w:rsidR="00701C87" w:rsidRPr="00DA6431">
        <w:rPr>
          <w:szCs w:val="20"/>
        </w:rPr>
        <w:instrText>ADDIN CSL_CITATION {"citationItems":[{"id":"ITEM-1","itemData":{"abstract":"Islamic Social Responbility (ISR) is an index of social responsibility disclosure (CSR) that has specific indicator on the ethical principles of Islam. In this study, assessment a level of CSR disclosure conducted on companies in the Jakarta Islamic Index (JII). This study aim to obtain an empirical evidence about the analysis of the factors that affect the disclosure of Corporate Social Responsibility (CSR). Factors used include profitability, types of industry, environmental performance and the size of the company. Measurement of Corporate Social Responsibility (CSR) is based on the category of Islamic Social Reporting (ISR) that used to calculate the Islamic Social Reporting index as seen from the company's annual report. This research is a quantitative research. The population of this research is all companies that listed in Jakarta Islamic Index totaling 30 companies sharia. The sampling technique used is Purposive sampling. The total sample is 16 companies sharia. Analysis of the data used to test classic assumptions and hypothesis testing with multiple regression method. The results of this study indicate that the environmental performance and the size of the company have a significant effect on the disclosure of Islamic Social Responbility. While profitability and industry type does not significantly affect the disclosure of Islamic Social Responbility in Indonesia.","author":[{"dropping-particle":"","family":"Fajrul Novrizal","given":"Muhammad","non-dropping-particle":"","parse-names":false,"suffix":""},{"dropping-particle":"","family":"Fitri","given":"Meutia","non-dropping-particle":"","parse-names":false,"suffix":""}],"container-title":"Jurnal Ilmiah Mahasiswa Ekonomi Akuntansi (JIMEKA)","id":"ITEM-1","issue":"2","issued":{"date-parts":[["2016"]]},"page":"1","title":"Faktor-Faktor yang Mempengaruhi Pengungkapan Corporate Social Responbility (CSR) pada Perusahaan yang Terdaftar di Jakarta Islamic Index (JII) tahun 2012-2015 dengan Menggunakan Islamic Social Reporting (ISR) Index sebagai Tolok Ukur","type":"article-journal","volume":"1"},"uris":["http://www.mendeley.com/documents/?uuid=70330551-801c-4f94-b9c9-d5fbfd73b8c0"]}],"mendeley":{"formattedCitation":"(Fajrul Novrizal &amp; Fitri, 2016)","plainTextFormattedCitation":"(Fajrul Novrizal &amp; Fitri, 2016)","previouslyFormattedCitation":"(Fajrul Novrizal &amp; Fitri, 2016)"},"properties":{"noteIndex":0},"schema":"https://github.com/citation-style-language/schema/raw/master/csl-citation.json"}</w:instrText>
      </w:r>
      <w:r w:rsidR="00701C87" w:rsidRPr="00DA6431">
        <w:rPr>
          <w:szCs w:val="20"/>
        </w:rPr>
        <w:fldChar w:fldCharType="separate"/>
      </w:r>
      <w:r w:rsidR="00701C87" w:rsidRPr="00DA6431">
        <w:rPr>
          <w:noProof/>
          <w:szCs w:val="20"/>
        </w:rPr>
        <w:t>(Fajrul Novrizal &amp; Fitri, 2016)</w:t>
      </w:r>
      <w:r w:rsidR="00701C87" w:rsidRPr="00DA6431">
        <w:rPr>
          <w:szCs w:val="20"/>
        </w:rPr>
        <w:fldChar w:fldCharType="end"/>
      </w:r>
      <w:r w:rsidR="00D65EC8">
        <w:t>.</w:t>
      </w:r>
    </w:p>
    <w:p w14:paraId="3CB8F9DD" w14:textId="77777777" w:rsidR="00B76826" w:rsidRDefault="00373A35" w:rsidP="00B76826">
      <w:pPr>
        <w:pStyle w:val="Ventura-Content"/>
      </w:pPr>
      <w:r>
        <w:t xml:space="preserve">This </w:t>
      </w:r>
      <w:r w:rsidR="008E0E60">
        <w:t>statement agrees</w:t>
      </w:r>
      <w:r>
        <w:t xml:space="preserve"> with the research of </w:t>
      </w:r>
      <w:r w:rsidR="00017A80" w:rsidRPr="00DA6431">
        <w:rPr>
          <w:szCs w:val="20"/>
        </w:rPr>
        <w:fldChar w:fldCharType="begin" w:fldLock="1"/>
      </w:r>
      <w:r w:rsidR="00017A80" w:rsidRPr="00DA6431">
        <w:rPr>
          <w:szCs w:val="20"/>
        </w:rPr>
        <w:instrText>ADDIN CSL_CITATION {"citationItems":[{"id":"ITEM-1","itemData":{"DOI":"10.21043/iqtishadia.v10i1.2365","author":[{"dropping-particle":"","family":"Qoyum","given":"Abdul","non-dropping-particle":"","parse-names":false,"suffix":""},{"dropping-particle":"","family":"Mutmainah","given":"Liyatul","non-dropping-particle":"","parse-names":false,"suffix":""},{"dropping-particle":"","family":"Setyono","given":"Joko","non-dropping-particle":"","parse-names":false,"suffix":""},{"dropping-particle":"","family":"Qizam","given":"Ibnu","non-dropping-particle":"","parse-names":false,"suffix":""}],"id":"ITEM-1","issued":{"date-parts":[["2017"]]},"title":"The Impact of Good Corporate Governance, Company Size nn Corporate Social Responsibility Disclosure: Case Study of Islamic Banking in Indonesia","type":"article-journal","volume":"10"},"uris":["http://www.mendeley.com/documents/?uuid=d690bc2c-d9ac-310f-bd42-8603c6e43d9b"]}],"mendeley":{"formattedCitation":"(Qoyum et al., 2017)","manualFormatting":"Qoyum et al., (2017)","plainTextFormattedCitation":"(Qoyum et al., 2017)","previouslyFormattedCitation":"(Qoyum et al., 2017)"},"properties":{"noteIndex":0},"schema":"https://github.com/citation-style-language/schema/raw/master/csl-citation.json"}</w:instrText>
      </w:r>
      <w:r w:rsidR="00017A80" w:rsidRPr="00DA6431">
        <w:rPr>
          <w:szCs w:val="20"/>
        </w:rPr>
        <w:fldChar w:fldCharType="separate"/>
      </w:r>
      <w:r w:rsidR="00017A80" w:rsidRPr="00DA6431">
        <w:rPr>
          <w:noProof/>
          <w:szCs w:val="20"/>
        </w:rPr>
        <w:t>Qoyum et al., (2017)</w:t>
      </w:r>
      <w:r w:rsidR="00017A80" w:rsidRPr="00DA6431">
        <w:rPr>
          <w:szCs w:val="20"/>
        </w:rPr>
        <w:fldChar w:fldCharType="end"/>
      </w:r>
      <w:r w:rsidR="00017A80" w:rsidRPr="00DA6431">
        <w:rPr>
          <w:szCs w:val="20"/>
        </w:rPr>
        <w:t xml:space="preserve">, </w:t>
      </w:r>
      <w:r w:rsidR="00017A80" w:rsidRPr="00DA6431">
        <w:rPr>
          <w:szCs w:val="20"/>
        </w:rPr>
        <w:fldChar w:fldCharType="begin" w:fldLock="1"/>
      </w:r>
      <w:r w:rsidR="00017A80" w:rsidRPr="00DA6431">
        <w:rPr>
          <w:szCs w:val="20"/>
        </w:rPr>
        <w:instrText>ADDIN CSL_CITATION {"citationItems":[{"id":"ITEM-1","itemData":{"author":[{"dropping-particle":"","family":"Fitranita","given":"Vika","non-dropping-particle":"","parse-names":false,"suffix":""},{"dropping-particle":"","family":"Wijayanti","given":"Indah Oktari","non-dropping-particle":"","parse-names":false,"suffix":""}],"container-title":"Journal Accounting and Finance Edisi Vol. 4 No. 1 Maret 2020","id":"ITEM-1","issue":"1","issued":{"date-parts":[["2020"]]},"title":"Profitabilitas, Ukuran Perusahaan, Kinerja lingkungan, Pertumbuhan Penjualan dan Leverage pada Pengungkapan Islamic Corporate Social Reporting","type":"article-journal","volume":"4"},"uris":["http://www.mendeley.com/documents/?uuid=ba3ab10e-3bbc-442a-b8df-7e5990720b85"]}],"mendeley":{"formattedCitation":"(Fitranita &amp; Wijayanti, 2020)","manualFormatting":"Fitranita &amp; Wijayanti (2020)","plainTextFormattedCitation":"(Fitranita &amp; Wijayanti, 2020)","previouslyFormattedCitation":"(Fitranita &amp; Wijayanti, 2020)"},"properties":{"noteIndex":0},"schema":"https://github.com/citation-style-language/schema/raw/master/csl-citation.json"}</w:instrText>
      </w:r>
      <w:r w:rsidR="00017A80" w:rsidRPr="00DA6431">
        <w:rPr>
          <w:szCs w:val="20"/>
        </w:rPr>
        <w:fldChar w:fldCharType="separate"/>
      </w:r>
      <w:r w:rsidR="00017A80" w:rsidRPr="00DA6431">
        <w:rPr>
          <w:noProof/>
          <w:szCs w:val="20"/>
        </w:rPr>
        <w:t>Fitranita &amp; Wijayanti (2020)</w:t>
      </w:r>
      <w:r w:rsidR="00017A80" w:rsidRPr="00DA6431">
        <w:rPr>
          <w:szCs w:val="20"/>
        </w:rPr>
        <w:fldChar w:fldCharType="end"/>
      </w:r>
      <w:r w:rsidRPr="00DA6431">
        <w:rPr>
          <w:szCs w:val="20"/>
        </w:rPr>
        <w:t xml:space="preserve">, </w:t>
      </w:r>
      <w:r w:rsidR="00503B70" w:rsidRPr="00DA6431">
        <w:rPr>
          <w:szCs w:val="20"/>
        </w:rPr>
        <w:t>an</w:t>
      </w:r>
      <w:r w:rsidR="00503B70">
        <w:rPr>
          <w:szCs w:val="20"/>
        </w:rPr>
        <w:t>d</w:t>
      </w:r>
      <w:r w:rsidR="00503B70" w:rsidRPr="00DA6431">
        <w:rPr>
          <w:szCs w:val="20"/>
        </w:rPr>
        <w:t xml:space="preserve"> </w:t>
      </w:r>
      <w:r w:rsidR="00503B70" w:rsidRPr="00DA6431">
        <w:rPr>
          <w:szCs w:val="20"/>
        </w:rPr>
        <w:fldChar w:fldCharType="begin" w:fldLock="1"/>
      </w:r>
      <w:r w:rsidR="00503B70" w:rsidRPr="00DA6431">
        <w:rPr>
          <w:szCs w:val="20"/>
        </w:rPr>
        <w:instrText>ADDIN CSL_CITATION {"citationItems":[{"id":"ITEM-1","itemData":{"DOI":"10.35591/wahana.v23i1.183","ISSN":"1410-8224","abstract":"Objective of this study is to analyze how the implementation of Corporate Social Responsibility by using Index Islamic Social Reporting (ISR) on Islamic Banking in Indonesia and to examine how the influence of Sharia Sipervisory Board (Dewan Pengawas Syariah – DPS), DPS conference, company size, profitability, leverage, and commissioners on the disclosure of Corporate Social Responsibility (CSR) in Islamic banking in Indonesia. The method used is quantitative analysis. This study population is all Islamic banking in Indonesia during the period 2011-2014. Samples are selected using purposive sampling method. Data analysis method used is multiple regression analysis. This research use secondary data from islamic banking annual report. Results of this study are all Islamic banking company has been doing CSR, size of the Sharia Supervisory Board, Sharia Supervisory Board conference, Company Size and Leverage does not affect the disclosure of CSR in Islamic banking, while profitability has a negative influence and board director has positive affect on disclosure CSR.","author":[{"dropping-particle":"","family":"Rahayu","given":"Ribut Sri","non-dropping-particle":"","parse-names":false,"suffix":""},{"dropping-particle":"","family":"Cahyati","given":"Ari Dewi","non-dropping-particle":"","parse-names":false,"suffix":""}],"container-title":"JRAK","id":"ITEM-1","issue":"2","issued":{"date-parts":[["2014"]]},"page":"74-87","title":"Faktor-Faktor Yang Mempengaruhi Pengungkapan Corporate Social Responsibility (CSR) pada Perbankan Syariah","type":"article-journal","volume":"5"},"uris":["http://www.mendeley.com/documents/?uuid=56a696df-8612-4a02-af29-76bdf1cb8ba2"]}],"mendeley":{"formattedCitation":"(R. S. Rahayu &amp; Cahyati, 2014)","manualFormatting":"Rahayu &amp; Cahyati (2014)","plainTextFormattedCitation":"(R. S. Rahayu &amp; Cahyati, 2014)","previouslyFormattedCitation":"(R. S. Rahayu &amp; Cahyati, 2014)"},"properties":{"noteIndex":0},"schema":"https://github.com/citation-style-language/schema/raw/master/csl-citation.json"}</w:instrText>
      </w:r>
      <w:r w:rsidR="00503B70" w:rsidRPr="00DA6431">
        <w:rPr>
          <w:szCs w:val="20"/>
        </w:rPr>
        <w:fldChar w:fldCharType="separate"/>
      </w:r>
      <w:r w:rsidR="00503B70" w:rsidRPr="00DA6431">
        <w:rPr>
          <w:noProof/>
          <w:szCs w:val="20"/>
        </w:rPr>
        <w:t>Rahayu &amp; Cahyati (2014)</w:t>
      </w:r>
      <w:r w:rsidR="00503B70" w:rsidRPr="00DA6431">
        <w:rPr>
          <w:szCs w:val="20"/>
        </w:rPr>
        <w:fldChar w:fldCharType="end"/>
      </w:r>
      <w:r>
        <w:t xml:space="preserve">that firm size has a positive </w:t>
      </w:r>
      <w:r w:rsidR="008E0E60">
        <w:t>effect on ICSR disclosure.</w:t>
      </w:r>
      <w:r>
        <w:t xml:space="preserve"> That is, the larger the company, the greater the level of ICSR disclosure made by the company. Larger companies tend to have a greater responsibility to make extensive disclosures.</w:t>
      </w:r>
    </w:p>
    <w:p w14:paraId="1F566F39" w14:textId="77777777" w:rsidR="004C40C9" w:rsidRDefault="00373A35" w:rsidP="00B76826">
      <w:pPr>
        <w:pStyle w:val="Ventura-Content"/>
        <w:ind w:firstLine="0"/>
      </w:pPr>
      <w:r>
        <w:t>Hypothesis 2: Firm Size has a positive effect on ICSR Disclosure</w:t>
      </w:r>
    </w:p>
    <w:p w14:paraId="51F5B2AD" w14:textId="77777777" w:rsidR="00E561C2" w:rsidRPr="00E561C2" w:rsidRDefault="00373A35" w:rsidP="00E561C2">
      <w:pPr>
        <w:pStyle w:val="Ventura-Content"/>
        <w:ind w:firstLine="0"/>
        <w:rPr>
          <w:b/>
          <w:bCs/>
        </w:rPr>
      </w:pPr>
      <w:r w:rsidRPr="00E561C2">
        <w:rPr>
          <w:b/>
          <w:bCs/>
        </w:rPr>
        <w:t>Leverage on Islamic Corporate Social Responsibility</w:t>
      </w:r>
    </w:p>
    <w:p w14:paraId="59D46FF0" w14:textId="77777777" w:rsidR="004914EE" w:rsidRDefault="00373A35" w:rsidP="004914EE">
      <w:pPr>
        <w:pStyle w:val="Ventura-Content"/>
      </w:pPr>
      <w:r>
        <w:t>Leverage is the ratio of total debt to total assets. The leverage ratio shows the company's ability to make debt as company financing so that the greater the leverage ratio value, it can be concluded that the larger the company is funded by debt (</w:t>
      </w:r>
      <w:proofErr w:type="spellStart"/>
      <w:r>
        <w:t>Wahyuningsih</w:t>
      </w:r>
      <w:proofErr w:type="spellEnd"/>
      <w:r>
        <w:t xml:space="preserve"> &amp; </w:t>
      </w:r>
      <w:proofErr w:type="spellStart"/>
      <w:r>
        <w:t>Mahdar</w:t>
      </w:r>
      <w:proofErr w:type="spellEnd"/>
      <w:r>
        <w:t>, 2019). The large leverage ratio indicates that the company has a greater obligation to expand the level of ICSR disclosure. This is motivated by companies who want to show their good image by continuing to carry out ICSR activities accompanied by a high level of leverage.</w:t>
      </w:r>
    </w:p>
    <w:p w14:paraId="45D722E7" w14:textId="77777777" w:rsidR="00E561C2" w:rsidRDefault="00373A35" w:rsidP="00E561C2">
      <w:pPr>
        <w:pStyle w:val="Ventura-Content"/>
      </w:pPr>
      <w:r>
        <w:t xml:space="preserve">This statement agrees with research that states that leverage has a positive effect on ICSR as did </w:t>
      </w:r>
      <w:proofErr w:type="spellStart"/>
      <w:r>
        <w:t>Nugraheni</w:t>
      </w:r>
      <w:proofErr w:type="spellEnd"/>
      <w:r>
        <w:t xml:space="preserve"> &amp; </w:t>
      </w:r>
      <w:proofErr w:type="spellStart"/>
      <w:r>
        <w:t>Permatasari</w:t>
      </w:r>
      <w:proofErr w:type="spellEnd"/>
      <w:r>
        <w:t xml:space="preserve"> (2016), </w:t>
      </w:r>
      <w:proofErr w:type="spellStart"/>
      <w:r>
        <w:t>Riyani</w:t>
      </w:r>
      <w:proofErr w:type="spellEnd"/>
      <w:r>
        <w:t xml:space="preserve"> &amp; </w:t>
      </w:r>
      <w:proofErr w:type="spellStart"/>
      <w:r>
        <w:t>Dewi</w:t>
      </w:r>
      <w:proofErr w:type="spellEnd"/>
      <w:r>
        <w:t xml:space="preserve"> (2018), and </w:t>
      </w:r>
      <w:proofErr w:type="spellStart"/>
      <w:r>
        <w:t>Fitranita</w:t>
      </w:r>
      <w:proofErr w:type="spellEnd"/>
      <w:r>
        <w:t xml:space="preserve"> &amp; </w:t>
      </w:r>
      <w:proofErr w:type="spellStart"/>
      <w:r>
        <w:t>Wijayanti</w:t>
      </w:r>
      <w:proofErr w:type="spellEnd"/>
      <w:r>
        <w:t>, (2020). It can be interpreted that ICSR disclosure is influenced by leverage. This is because the higher the company's debt causes the company's responsibility to increase, especially the disclosure of ICSR. In addition, the disclosure of ICSR can be added value as well as a company guarantee to creditors</w:t>
      </w:r>
      <w:r w:rsidR="00D65EC8">
        <w:t>.</w:t>
      </w:r>
    </w:p>
    <w:p w14:paraId="6962D427" w14:textId="77777777" w:rsidR="004C40C9" w:rsidRDefault="00373A35" w:rsidP="00E561C2">
      <w:pPr>
        <w:pStyle w:val="Ventura-Content"/>
        <w:ind w:firstLine="0"/>
      </w:pPr>
      <w:r>
        <w:t>Hypothesis 3: Leverage has a positive effect on ICSR Disclosure</w:t>
      </w:r>
      <w:r w:rsidR="004914EE">
        <w:t>.</w:t>
      </w:r>
    </w:p>
    <w:p w14:paraId="0F71CD03" w14:textId="77777777" w:rsidR="00885A92" w:rsidRPr="00885A92" w:rsidRDefault="00373A35" w:rsidP="00885A92">
      <w:pPr>
        <w:pStyle w:val="Ventura-Content"/>
        <w:ind w:firstLine="0"/>
        <w:rPr>
          <w:b/>
          <w:bCs/>
        </w:rPr>
      </w:pPr>
      <w:r w:rsidRPr="00885A92">
        <w:rPr>
          <w:b/>
          <w:bCs/>
        </w:rPr>
        <w:t>Profitability on Islamic Corporate Social Responsibility</w:t>
      </w:r>
    </w:p>
    <w:p w14:paraId="1BD2B4B3" w14:textId="77777777" w:rsidR="00885A92" w:rsidRDefault="00373A35" w:rsidP="00885A92">
      <w:pPr>
        <w:pStyle w:val="Ventura-Content"/>
      </w:pPr>
      <w:r>
        <w:t xml:space="preserve">Profitability shows the company's ability to earn profits after utilizing several company resources it has </w:t>
      </w:r>
      <w:r w:rsidR="00F65AF5" w:rsidRPr="009F0BC6">
        <w:rPr>
          <w:szCs w:val="20"/>
        </w:rPr>
        <w:fldChar w:fldCharType="begin" w:fldLock="1"/>
      </w:r>
      <w:r w:rsidR="00F65AF5" w:rsidRPr="009F0BC6">
        <w:rPr>
          <w:szCs w:val="20"/>
        </w:rPr>
        <w:instrText>ADDIN CSL_CITATION {"citationItems":[{"id":"ITEM-1","itemData":{"DOI":"10.18196/jai.2102155","author":[{"dropping-particle":"","family":"Wahyono","given":"","non-dropping-particle":"","parse-names":false,"suffix":""},{"dropping-particle":"","family":"Eskasari","given":"Putri","non-dropping-particle":"","parse-names":false,"suffix":""},{"dropping-particle":"","family":"Cahya","given":"Bayu Tri","non-dropping-particle":"","parse-names":false,"suffix":""}],"id":"ITEM-1","issue":"2","issued":{"date-parts":[["2020"]]},"title":"Corporate Governance Strength , Firm ’ s Characteristics , and Islamic Social Report : Evidence from Jakarta Islamic Index","type":"article-journal","volume":"21"},"uris":["http://www.mendeley.com/documents/?uuid=6e831dd4-f5de-4fe0-91bd-9a990be0003c"]}],"mendeley":{"formattedCitation":"(Wahyono et al., 2020)","plainTextFormattedCitation":"(Wahyono et al., 2020)","previouslyFormattedCitation":"(Wahyono et al., 2020)"},"properties":{"noteIndex":0},"schema":"https://github.com/citation-style-language/schema/raw/master/csl-citation.json"}</w:instrText>
      </w:r>
      <w:r w:rsidR="00F65AF5" w:rsidRPr="009F0BC6">
        <w:rPr>
          <w:szCs w:val="20"/>
        </w:rPr>
        <w:fldChar w:fldCharType="separate"/>
      </w:r>
      <w:r w:rsidR="00F65AF5" w:rsidRPr="009F0BC6">
        <w:rPr>
          <w:noProof/>
          <w:szCs w:val="20"/>
        </w:rPr>
        <w:t>(Wahyono et al., 2020)</w:t>
      </w:r>
      <w:r w:rsidR="00F65AF5" w:rsidRPr="009F0BC6">
        <w:rPr>
          <w:szCs w:val="20"/>
        </w:rPr>
        <w:fldChar w:fldCharType="end"/>
      </w:r>
      <w:r>
        <w:t>. The value of the profitability ratio can describe the condition of the company's performance on its operational activities. The amount of profit after tax obtained by the company will indicate whether or not the operational management has been carried out so that it will cause the company to expand in overall information disclosure.</w:t>
      </w:r>
    </w:p>
    <w:p w14:paraId="7D6AEAE0" w14:textId="77777777" w:rsidR="00885A92" w:rsidRDefault="00373A35" w:rsidP="00885A92">
      <w:pPr>
        <w:pStyle w:val="Ventura-Content"/>
      </w:pPr>
      <w:r>
        <w:t xml:space="preserve">This statement agrees with research by </w:t>
      </w:r>
      <w:r w:rsidR="004F5507" w:rsidRPr="009F0BC6">
        <w:rPr>
          <w:szCs w:val="20"/>
        </w:rPr>
        <w:fldChar w:fldCharType="begin" w:fldLock="1"/>
      </w:r>
      <w:r w:rsidR="004F5507" w:rsidRPr="009F0BC6">
        <w:rPr>
          <w:szCs w:val="20"/>
        </w:rPr>
        <w:instrText>ADDIN CSL_CITATION {"citationItems":[{"id":"ITEM-1","itemData":{"DOI":"10.35591/wahana.v23i1.183","ISSN":"1410-8224","abstract":"Objective of this study is to analyze how the implementation of Corporate Social Responsibility by using Index Islamic Social Reporting (ISR) on Islamic Banking in Indonesia and to examine how the influence of Sharia Sipervisory Board (Dewan Pengawas Syariah – DPS), DPS conference, company size, profitability, leverage, and commissioners on the disclosure of Corporate Social Responsibility (CSR) in Islamic banking in Indonesia. The method used is quantitative analysis. This study population is all Islamic banking in Indonesia during the period 2011-2014. Samples are selected using purposive sampling method. Data analysis method used is multiple regression analysis. This research use secondary data from islamic banking annual report. Results of this study are all Islamic banking company has been doing CSR, size of the Sharia Supervisory Board, Sharia Supervisory Board conference, Company Size and Leverage does not affect the disclosure of CSR in Islamic banking, while profitability has a negative influence and board director has positive affect on disclosure CSR.","author":[{"dropping-particle":"","family":"Rahayu","given":"Ribut Sri","non-dropping-particle":"","parse-names":false,"suffix":""},{"dropping-particle":"","family":"Cahyati","given":"Ari Dewi","non-dropping-particle":"","parse-names":false,"suffix":""}],"container-title":"JRAK","id":"ITEM-1","issue":"2","issued":{"date-parts":[["2014"]]},"page":"74-87","title":"Faktor-Faktor Yang Mempengaruhi Pengungkapan Corporate Social Responsibility (CSR) pada Perbankan Syariah","type":"article-journal","volume":"5"},"uris":["http://www.mendeley.com/documents/?uuid=56a696df-8612-4a02-af29-76bdf1cb8ba2"]}],"mendeley":{"formattedCitation":"(R. S. Rahayu &amp; Cahyati, 2014)","manualFormatting":"Rahayu &amp; Cahyati (2014)","plainTextFormattedCitation":"(R. S. Rahayu &amp; Cahyati, 2014)","previouslyFormattedCitation":"(R. S. Rahayu &amp; Cahyati, 2014)"},"properties":{"noteIndex":0},"schema":"https://github.com/citation-style-language/schema/raw/master/csl-citation.json"}</w:instrText>
      </w:r>
      <w:r w:rsidR="004F5507" w:rsidRPr="009F0BC6">
        <w:rPr>
          <w:szCs w:val="20"/>
        </w:rPr>
        <w:fldChar w:fldCharType="separate"/>
      </w:r>
      <w:r w:rsidR="004F5507" w:rsidRPr="009F0BC6">
        <w:rPr>
          <w:noProof/>
          <w:szCs w:val="20"/>
        </w:rPr>
        <w:t>Rahayu &amp; Cahyati (2014)</w:t>
      </w:r>
      <w:r w:rsidR="004F5507" w:rsidRPr="009F0BC6">
        <w:rPr>
          <w:szCs w:val="20"/>
        </w:rPr>
        <w:fldChar w:fldCharType="end"/>
      </w:r>
      <w:r w:rsidR="004F5507" w:rsidRPr="009F0BC6">
        <w:rPr>
          <w:szCs w:val="20"/>
        </w:rPr>
        <w:t xml:space="preserve"> </w:t>
      </w:r>
      <w:r w:rsidR="004F5507">
        <w:rPr>
          <w:szCs w:val="20"/>
        </w:rPr>
        <w:t>and</w:t>
      </w:r>
      <w:r w:rsidR="004F5507" w:rsidRPr="009F0BC6">
        <w:rPr>
          <w:szCs w:val="20"/>
        </w:rPr>
        <w:t xml:space="preserve"> </w:t>
      </w:r>
      <w:r w:rsidR="004F5507" w:rsidRPr="009F0BC6">
        <w:rPr>
          <w:szCs w:val="20"/>
        </w:rPr>
        <w:fldChar w:fldCharType="begin" w:fldLock="1"/>
      </w:r>
      <w:r w:rsidR="004F5507" w:rsidRPr="009F0BC6">
        <w:rPr>
          <w:szCs w:val="20"/>
        </w:rPr>
        <w:instrText>ADDIN CSL_CITATION {"citationItems":[{"id":"ITEM-1","itemData":{"DOI":"10.18196/jai.180280","abstract":"The objective of this research is to obtain empirical evidence about the effect of commissioner board size, independent board of commisioner, audit committee size, profitability, and the environmental performance on Islamic Social Reporting (ISR) of companies which are in the Sharia Securities List (DES). The population of this research consisted of all companies under DES which joined PROPER environmental rating during 2011-2015. There were 31 companies were selected as samples based on purposive sampling method. The method employed to measure the ISR Disclosure was content analysis by scoring the items of social disclosure in the annual report of those companies. The multiple linier regression shows that the size of commisioner board, profitability, and environmental performance have positive effects on the disclosure of ISR, while the independence of commisioner board and audit committe do not affect the disclosure of ISR.","author":[{"dropping-particle":"","family":"Kurniawati","given":"Mahardhika","non-dropping-particle":"","parse-names":false,"suffix":""},{"dropping-particle":"","family":"Yaya","given":"Rizal","non-dropping-particle":"","parse-names":false,"suffix":""}],"id":"ITEM-1","issue":"2","issued":{"date-parts":[["2017"]]},"page":"163-171","title":"Pengaruh Mekanisme Corporate Governance , Kinerja Keuangan dan Kinerja Lingkungan terhadap Pengungkapan Islamic Social Reporting","type":"article-journal","volume":"18"},"uris":["http://www.mendeley.com/documents/?uuid=49fdb32a-ee58-4bf8-b20a-b28b8908f1bf"]}],"mendeley":{"formattedCitation":"(Kurniawati &amp; Yaya, 2017)","manualFormatting":"Kurniawati &amp; Yaya, (2017)","plainTextFormattedCitation":"(Kurniawati &amp; Yaya, 2017)","previouslyFormattedCitation":"(Kurniawati &amp; Yaya, 2017)"},"properties":{"noteIndex":0},"schema":"https://github.com/citation-style-language/schema/raw/master/csl-citation.json"}</w:instrText>
      </w:r>
      <w:r w:rsidR="004F5507" w:rsidRPr="009F0BC6">
        <w:rPr>
          <w:szCs w:val="20"/>
        </w:rPr>
        <w:fldChar w:fldCharType="separate"/>
      </w:r>
      <w:r w:rsidR="004F5507" w:rsidRPr="009F0BC6">
        <w:rPr>
          <w:noProof/>
          <w:szCs w:val="20"/>
        </w:rPr>
        <w:t>Kurniawati &amp; Yaya, (2017)</w:t>
      </w:r>
      <w:r w:rsidR="004F5507" w:rsidRPr="009F0BC6">
        <w:rPr>
          <w:szCs w:val="20"/>
        </w:rPr>
        <w:fldChar w:fldCharType="end"/>
      </w:r>
      <w:r w:rsidR="004F5507">
        <w:rPr>
          <w:szCs w:val="20"/>
        </w:rPr>
        <w:t xml:space="preserve"> </w:t>
      </w:r>
      <w:r>
        <w:t xml:space="preserve">which state that profitability has a positive effect on ICSR disclosure. </w:t>
      </w:r>
      <w:r w:rsidR="0045325E" w:rsidRPr="0045325E">
        <w:t>This means that companies with large margin capabilities can trigger ICSR disclosures.</w:t>
      </w:r>
      <w:r>
        <w:t xml:space="preserve"> Companies that have high profits will have an impact on the high company funds allocated to social activities.</w:t>
      </w:r>
    </w:p>
    <w:p w14:paraId="09C187E4" w14:textId="77777777" w:rsidR="004C40C9" w:rsidRDefault="00373A35" w:rsidP="00885A92">
      <w:pPr>
        <w:pStyle w:val="Ventura-Content"/>
        <w:ind w:firstLine="0"/>
      </w:pPr>
      <w:r>
        <w:t>Hypothesis 4: Profitability has a positive effect on ICSR disclosure</w:t>
      </w:r>
      <w:r w:rsidR="0045325E">
        <w:t>.</w:t>
      </w:r>
    </w:p>
    <w:p w14:paraId="6086FAB0" w14:textId="77777777" w:rsidR="00221FA5" w:rsidRPr="00221FA5" w:rsidRDefault="00373A35" w:rsidP="00221FA5">
      <w:pPr>
        <w:pStyle w:val="Ventura-Content"/>
        <w:ind w:firstLine="0"/>
        <w:rPr>
          <w:b/>
          <w:bCs/>
        </w:rPr>
      </w:pPr>
      <w:r w:rsidRPr="00221FA5">
        <w:rPr>
          <w:b/>
          <w:bCs/>
        </w:rPr>
        <w:t>Corporate Governance on Islamic Corporate Social Responsibility</w:t>
      </w:r>
    </w:p>
    <w:p w14:paraId="354C0901" w14:textId="77777777" w:rsidR="00221FA5" w:rsidRDefault="00373A35" w:rsidP="00221FA5">
      <w:pPr>
        <w:pStyle w:val="Ventura-Content"/>
      </w:pPr>
      <w:r>
        <w:t xml:space="preserve">According to the Organization for Economic Cooperation and Development in </w:t>
      </w:r>
      <w:r w:rsidR="00376804" w:rsidRPr="004F432C">
        <w:fldChar w:fldCharType="begin" w:fldLock="1"/>
      </w:r>
      <w:r w:rsidR="00376804" w:rsidRPr="004F432C">
        <w:instrText>ADDIN CSL_CITATION {"citationItems":[{"id":"ITEM-1","itemData":{"DOI":"10.14414/tiar.v8i2.1628","author":[{"dropping-particle":"","family":"Riyani","given":"Dinna","non-dropping-particle":"","parse-names":false,"suffix":""},{"dropping-particle":"","family":"Dewi","given":"Nurul Hasanah Uswati","non-dropping-particle":"","parse-names":false,"suffix":""}],"id":"ITEM-1","issue":"2","issued":{"date-parts":[["2018"]]},"page":"121-130","title":"The effect of corporate governance , leverage , and liquidity on Islamic Social Reporting ( ISR ) disclosure in Islamic commercial banks in Indonesia","type":"article-journal","volume":"8"},"uris":["http://www.mendeley.com/documents/?uuid=fce224f3-a8d4-45d8-88cc-2d46e1ba0aee"]}],"mendeley":{"formattedCitation":"(Riyani &amp; Dewi, 2018)","manualFormatting":"Riyani dan Dewi (2018)","plainTextFormattedCitation":"(Riyani &amp; Dewi, 2018)","previouslyFormattedCitation":"(Riyani &amp; Dewi, 2018)"},"properties":{"noteIndex":0},"schema":"https://github.com/citation-style-language/schema/raw/master/csl-citation.json"}</w:instrText>
      </w:r>
      <w:r w:rsidR="00376804" w:rsidRPr="004F432C">
        <w:fldChar w:fldCharType="separate"/>
      </w:r>
      <w:r w:rsidR="00376804" w:rsidRPr="004F432C">
        <w:rPr>
          <w:noProof/>
        </w:rPr>
        <w:t>Riyani dan Dewi (2018)</w:t>
      </w:r>
      <w:r w:rsidR="00376804" w:rsidRPr="004F432C">
        <w:fldChar w:fldCharType="end"/>
      </w:r>
      <w:r>
        <w:t xml:space="preserve"> research, it is stated that the structural responsibility relationship between related parties from shareholders, members of the board of directors, commissioners, and managers is formed to encourage the creation of competitive performance in achieving the company's main goals. The corporate governance variable was chosen to see how much influence the size of each structure in the organization affects the disclosure of social responsibility.</w:t>
      </w:r>
    </w:p>
    <w:p w14:paraId="410247C0" w14:textId="77777777" w:rsidR="00221FA5" w:rsidRDefault="00373A35" w:rsidP="00221FA5">
      <w:pPr>
        <w:pStyle w:val="Ventura-Content"/>
      </w:pPr>
      <w:r>
        <w:t xml:space="preserve">The size of the structural component of corporate governance illustrates how an idea given by each individual affects decision-making, especially in the social and environmental aspects. In this study, the structural size of the entity is measured by looking at the size of the board of commissioners, board of directors, and audit committee </w:t>
      </w:r>
      <w:r w:rsidR="00217FCC">
        <w:fldChar w:fldCharType="begin" w:fldLock="1"/>
      </w:r>
      <w:r w:rsidR="00217FCC">
        <w:instrText>ADDIN CSL_CITATION {"citationItems":[{"id":"ITEM-1","itemData":{"DOI":"10.28992/ijsam.v3i1.77","author":[{"dropping-particle":"","family":"Budi","given":"Ichsan Setiyo","non-dropping-particle":"","parse-names":false,"suffix":""},{"dropping-particle":"","family":"Rahmawati","given":"","non-dropping-particle":"","parse-names":false,"suffix":""},{"dropping-particle":"","family":"Falikhatun","given":"","non-dropping-particle":"","parse-names":false,"suffix":""},{"dropping-particle":"","family":"Muthmainah","given":"","non-dropping-particle":"","parse-names":false,"suffix":""},{"dropping-particle":"","family":"Gunardi","given":"Ardi","non-dropping-particle":"","parse-names":false,"suffix":""}],"container-title":"Indonesian Journal of Sustainability Accounting and Management","id":"ITEM-1","issue":"1","issued":{"date-parts":[["2019"]]},"title":"Financial Performance Mediation in the Influence of Islamic Corporate Governance Disclosure on the Islamic Social Reporting","type":"article-journal","volume":"3"},"uris":["http://www.mendeley.com/documents/?uuid=9b9df0b4-e294-45a6-9068-71d0e5255c25"]}],"mendeley":{"formattedCitation":"(Budi et al., 2019)","plainTextFormattedCitation":"(Budi et al., 2019)","previouslyFormattedCitation":"(Budi et al., 2019)"},"properties":{"noteIndex":0},"schema":"https://github.com/citation-style-language/schema/raw/master/csl-citation.json"}</w:instrText>
      </w:r>
      <w:r w:rsidR="00217FCC">
        <w:fldChar w:fldCharType="separate"/>
      </w:r>
      <w:r w:rsidR="00217FCC" w:rsidRPr="004F432C">
        <w:rPr>
          <w:noProof/>
        </w:rPr>
        <w:t>(Budi et al., 2019)</w:t>
      </w:r>
      <w:r w:rsidR="00217FCC">
        <w:fldChar w:fldCharType="end"/>
      </w:r>
      <w:r>
        <w:t xml:space="preserve">. This is supported by the research of </w:t>
      </w:r>
      <w:r w:rsidR="00CC3FD6">
        <w:fldChar w:fldCharType="begin" w:fldLock="1"/>
      </w:r>
      <w:r w:rsidR="00CC3FD6">
        <w:instrText>ADDIN CSL_CITATION {"citationItems":[{"id":"ITEM-1","itemData":{"DOI":"10.18196/jai.180280","abstract":"The objective of this research is to obtain empirical evidence about the effect of commissioner board size, independent board of commisioner, audit committee size, profitability, and the environmental performance on Islamic Social Reporting (ISR) of companies which are in the Sharia Securities List (DES). The population of this research consisted of all companies under DES which joined PROPER environmental rating during 2011-2015. There were 31 companies were selected as samples based on purposive sampling method. The method employed to measure the ISR Disclosure was content analysis by scoring the items of social disclosure in the annual report of those companies. The multiple linier regression shows that the size of commisioner board, profitability, and environmental performance have positive effects on the disclosure of ISR, while the independence of commisioner board and audit committe do not affect the disclosure of ISR.","author":[{"dropping-particle":"","family":"Kurniawati","given":"Mahardhika","non-dropping-particle":"","parse-names":false,"suffix":""},{"dropping-particle":"","family":"Yaya","given":"Rizal","non-dropping-particle":"","parse-names":false,"suffix":""}],"id":"ITEM-1","issue":"2","issued":{"date-parts":[["2017"]]},"page":"163-171","title":"Pengaruh Mekanisme Corporate Governance , Kinerja Keuangan dan Kinerja Lingkungan terhadap Pengungkapan Islamic Social Reporting","type":"article-journal","volume":"18"},"uris":["http://www.mendeley.com/documents/?uuid=49fdb32a-ee58-4bf8-b20a-b28b8908f1bf"]}],"mendeley":{"formattedCitation":"(Kurniawati &amp; Yaya, 2017)","manualFormatting":"Kurniawati &amp; Yaya (2017)","plainTextFormattedCitation":"(Kurniawati &amp; Yaya, 2017)","previouslyFormattedCitation":"(Kurniawati &amp; Yaya, 2017)"},"properties":{"noteIndex":0},"schema":"https://github.com/citation-style-language/schema/raw/master/csl-citation.json"}</w:instrText>
      </w:r>
      <w:r w:rsidR="00CC3FD6">
        <w:fldChar w:fldCharType="separate"/>
      </w:r>
      <w:r w:rsidR="00CC3FD6" w:rsidRPr="004F432C">
        <w:rPr>
          <w:noProof/>
        </w:rPr>
        <w:t xml:space="preserve">Kurniawati &amp; Yaya </w:t>
      </w:r>
      <w:r w:rsidR="00CC3FD6">
        <w:rPr>
          <w:noProof/>
        </w:rPr>
        <w:t>(</w:t>
      </w:r>
      <w:r w:rsidR="00CC3FD6" w:rsidRPr="004F432C">
        <w:rPr>
          <w:noProof/>
        </w:rPr>
        <w:t>2017)</w:t>
      </w:r>
      <w:r w:rsidR="00CC3FD6">
        <w:fldChar w:fldCharType="end"/>
      </w:r>
      <w:r w:rsidR="00CC3FD6">
        <w:t xml:space="preserve"> and </w:t>
      </w:r>
      <w:r w:rsidR="00CC3FD6">
        <w:fldChar w:fldCharType="begin" w:fldLock="1"/>
      </w:r>
      <w:r w:rsidR="00CC3FD6">
        <w:instrText>ADDIN CSL_CITATION {"citationItems":[{"id":"ITEM-1","itemData":{"DOI":"10.14414/tiar.v8i2.1628","author":[{"dropping-particle":"","family":"Riyani","given":"Dinna","non-dropping-particle":"","parse-names":false,"suffix":""},{"dropping-particle":"","family":"Dewi","given":"Nurul Hasanah Uswati","non-dropping-particle":"","parse-names":false,"suffix":""}],"id":"ITEM-1","issue":"2","issued":{"date-parts":[["2018"]]},"page":"121-130","title":"The effect of corporate governance , leverage , and liquidity on Islamic Social Reporting ( ISR ) disclosure in Islamic commercial banks in Indonesia","type":"article-journal","volume":"8"},"uris":["http://www.mendeley.com/documents/?uuid=fce224f3-a8d4-45d8-88cc-2d46e1ba0aee"]}],"mendeley":{"formattedCitation":"(Riyani &amp; Dewi, 2018)","manualFormatting":"Riyani &amp; Dewi (2018)","plainTextFormattedCitation":"(Riyani &amp; Dewi, 2018)","previouslyFormattedCitation":"(Riyani &amp; Dewi, 2018)"},"properties":{"noteIndex":0},"schema":"https://github.com/citation-style-language/schema/raw/master/csl-citation.json"}</w:instrText>
      </w:r>
      <w:r w:rsidR="00CC3FD6">
        <w:fldChar w:fldCharType="separate"/>
      </w:r>
      <w:r w:rsidR="00CC3FD6" w:rsidRPr="004F432C">
        <w:rPr>
          <w:noProof/>
        </w:rPr>
        <w:t xml:space="preserve">Riyani &amp; Dewi </w:t>
      </w:r>
      <w:r w:rsidR="00CC3FD6">
        <w:rPr>
          <w:noProof/>
        </w:rPr>
        <w:t>(</w:t>
      </w:r>
      <w:r w:rsidR="00CC3FD6" w:rsidRPr="004F432C">
        <w:rPr>
          <w:noProof/>
        </w:rPr>
        <w:t>2018)</w:t>
      </w:r>
      <w:r w:rsidR="00CC3FD6">
        <w:fldChar w:fldCharType="end"/>
      </w:r>
      <w:r w:rsidR="00CC3FD6">
        <w:t xml:space="preserve"> </w:t>
      </w:r>
      <w:r>
        <w:t xml:space="preserve">which </w:t>
      </w:r>
      <w:r w:rsidR="002052FC" w:rsidRPr="002052FC">
        <w:t>states</w:t>
      </w:r>
      <w:r>
        <w:t xml:space="preserve"> that the board of commissioners </w:t>
      </w:r>
      <w:r w:rsidR="002052FC" w:rsidRPr="002052FC">
        <w:t>influences the</w:t>
      </w:r>
      <w:r>
        <w:t xml:space="preserve"> disclosure</w:t>
      </w:r>
      <w:r w:rsidR="002052FC" w:rsidRPr="002052FC">
        <w:t xml:space="preserve"> of ICSR</w:t>
      </w:r>
      <w:r>
        <w:t xml:space="preserve">. The research of </w:t>
      </w:r>
      <w:r w:rsidR="00885EC2">
        <w:fldChar w:fldCharType="begin" w:fldLock="1"/>
      </w:r>
      <w:r w:rsidR="00F44482">
        <w:instrText>ADDIN CSL_CITATION {"citationItems":[{"id":"ITEM-1","itemData":{"DOI":"10.28992/ijsam.v3i1.77","author":[{"dropping-particle":"","family":"Budi","given":"Ichsan Setiyo","non-dropping-particle":"","parse-names":false,"suffix":""},{"dropping-particle":"","family":"Rahmawati","given":"","non-dropping-particle":"","parse-names":false,"suffix":""},{"dropping-particle":"","family":"Falikhatun","given":"","non-dropping-particle":"","parse-names":false,"suffix":""},{"dropping-particle":"","family":"Muthmainah","given":"","non-dropping-particle":"","parse-names":false,"suffix":""},{"dropping-particle":"","family":"Gunardi","given":"Ardi","non-dropping-particle":"","parse-names":false,"suffix":""}],"container-title":"Indonesian Journal of Sustainability Accounting and Management","id":"ITEM-1","issue":"1","issued":{"date-parts":[["2019"]]},"title":"Financial Performance Mediation in the Influence of Islamic Corporate Governance Disclosure on the Islamic Social Reporting","type":"article-journal","volume":"3"},"uris":["http://www.mendeley.com/documents/?uuid=9b9df0b4-e294-45a6-9068-71d0e5255c25"]}],"mendeley":{"formattedCitation":"(Budi et al., 2019)","manualFormatting":"Budi et al., (2019)","plainTextFormattedCitation":"(Budi et al., 2019)","previouslyFormattedCitation":"(Budi et al., 2019)"},"properties":{"noteIndex":0},"schema":"https://github.com/citation-style-language/schema/raw/master/csl-citation.json"}</w:instrText>
      </w:r>
      <w:r w:rsidR="00885EC2">
        <w:fldChar w:fldCharType="separate"/>
      </w:r>
      <w:r w:rsidR="00885EC2" w:rsidRPr="00C65D58">
        <w:rPr>
          <w:noProof/>
        </w:rPr>
        <w:t>Budi et al.</w:t>
      </w:r>
      <w:r w:rsidR="00885EC2">
        <w:rPr>
          <w:noProof/>
        </w:rPr>
        <w:t>,</w:t>
      </w:r>
      <w:r w:rsidR="00885EC2" w:rsidRPr="00C65D58">
        <w:rPr>
          <w:noProof/>
        </w:rPr>
        <w:t xml:space="preserve"> </w:t>
      </w:r>
      <w:r w:rsidR="00885EC2">
        <w:rPr>
          <w:noProof/>
        </w:rPr>
        <w:t>(</w:t>
      </w:r>
      <w:r w:rsidR="00885EC2" w:rsidRPr="00C65D58">
        <w:rPr>
          <w:noProof/>
        </w:rPr>
        <w:t>2019)</w:t>
      </w:r>
      <w:r w:rsidR="00885EC2">
        <w:fldChar w:fldCharType="end"/>
      </w:r>
      <w:r>
        <w:t xml:space="preserve"> stated that the </w:t>
      </w:r>
      <w:r w:rsidR="00235E48" w:rsidRPr="00235E48">
        <w:t xml:space="preserve">audit committee and the </w:t>
      </w:r>
      <w:r>
        <w:t xml:space="preserve">board of directors have a </w:t>
      </w:r>
      <w:r w:rsidR="00235E48" w:rsidRPr="00235E48">
        <w:t>role in disclosing</w:t>
      </w:r>
      <w:r>
        <w:t xml:space="preserve"> ICSR.</w:t>
      </w:r>
    </w:p>
    <w:p w14:paraId="0F87692B" w14:textId="77777777" w:rsidR="004C40C9" w:rsidRDefault="00373A35" w:rsidP="00221FA5">
      <w:pPr>
        <w:pStyle w:val="Ventura-Content"/>
        <w:ind w:firstLine="0"/>
      </w:pPr>
      <w:r>
        <w:t>Hypothesis 5: Corporate Governance has a positive effect on ICSR disclosure</w:t>
      </w:r>
      <w:r w:rsidR="00235E48">
        <w:t>.</w:t>
      </w:r>
    </w:p>
    <w:p w14:paraId="58DA56FC" w14:textId="77777777" w:rsidR="004C40C9" w:rsidRDefault="00373A35" w:rsidP="004C40C9">
      <w:pPr>
        <w:pStyle w:val="Ventura-Content"/>
      </w:pPr>
      <w:r w:rsidRPr="00694531">
        <w:t>The rationale underlying this research is depicted in Figure 1</w:t>
      </w:r>
    </w:p>
    <w:p w14:paraId="4B47DC82" w14:textId="77777777" w:rsidR="004C40C9" w:rsidRDefault="00373A35" w:rsidP="00B916D1">
      <w:pPr>
        <w:pStyle w:val="Ventura-Content"/>
        <w:ind w:firstLine="0"/>
      </w:pPr>
      <w:r w:rsidRPr="0076620B">
        <w:rPr>
          <w:noProof/>
        </w:rPr>
        <w:drawing>
          <wp:inline distT="0" distB="0" distL="0" distR="0" wp14:anchorId="64D8DF03" wp14:editId="6EF06249">
            <wp:extent cx="2916555" cy="1845945"/>
            <wp:effectExtent l="0" t="0" r="0" b="0"/>
            <wp:docPr id="30" name="Gambar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2916555" cy="1845945"/>
                    </a:xfrm>
                    <a:prstGeom prst="rect">
                      <a:avLst/>
                    </a:prstGeom>
                    <a:noFill/>
                    <a:ln>
                      <a:noFill/>
                    </a:ln>
                  </pic:spPr>
                </pic:pic>
              </a:graphicData>
            </a:graphic>
          </wp:inline>
        </w:drawing>
      </w:r>
    </w:p>
    <w:p w14:paraId="1EE354B3" w14:textId="77777777" w:rsidR="004C40C9" w:rsidRDefault="004C40C9" w:rsidP="004C40C9">
      <w:pPr>
        <w:pStyle w:val="Ventura-Content"/>
      </w:pPr>
    </w:p>
    <w:p w14:paraId="123518F8" w14:textId="77777777" w:rsidR="004C40C9" w:rsidRDefault="00373A35" w:rsidP="00AD5D7F">
      <w:pPr>
        <w:pStyle w:val="Ventura-Heading1"/>
        <w:rPr>
          <w:lang w:eastAsia="id-ID"/>
        </w:rPr>
      </w:pPr>
      <w:r w:rsidRPr="002B4317">
        <w:rPr>
          <w:lang w:eastAsia="id-ID"/>
        </w:rPr>
        <w:t>3. RESEARCH METHOD</w:t>
      </w:r>
    </w:p>
    <w:p w14:paraId="1A0B8F94" w14:textId="77777777" w:rsidR="00DF5B79" w:rsidRPr="00DF5B79" w:rsidRDefault="00373A35" w:rsidP="00DF5B79">
      <w:pPr>
        <w:pStyle w:val="Ventura-Content"/>
        <w:ind w:firstLine="0"/>
        <w:rPr>
          <w:b/>
          <w:bCs/>
        </w:rPr>
      </w:pPr>
      <w:r w:rsidRPr="00DF5B79">
        <w:rPr>
          <w:b/>
          <w:bCs/>
        </w:rPr>
        <w:t>Sample Classification</w:t>
      </w:r>
    </w:p>
    <w:p w14:paraId="488FDE0F" w14:textId="77777777" w:rsidR="008C55A6" w:rsidRDefault="00373A35" w:rsidP="008C55A6">
      <w:pPr>
        <w:pStyle w:val="Ventura-Content"/>
      </w:pPr>
      <w:r>
        <w:t xml:space="preserve">This study uses a population of companies listed in the Jakarta Islamic Index (JII). The sample of this research is the companies listed in the Jakarta Islamic Index with a research period of 2015-2020. Sampling was carried out using a purposive sampling technique, namely by providing criteria relevant to the research </w:t>
      </w:r>
      <w:r w:rsidR="00BD10EB" w:rsidRPr="00F16380">
        <w:t>(</w:t>
      </w:r>
      <w:proofErr w:type="spellStart"/>
      <w:r w:rsidR="00BD10EB" w:rsidRPr="00F16380">
        <w:fldChar w:fldCharType="begin" w:fldLock="1"/>
      </w:r>
      <w:r w:rsidR="00BD10EB" w:rsidRPr="00F16380">
        <w:instrText>ADDIN CSL_CITATION {"citationItems":[{"id":"ITEM-1","itemData":{"author":[{"dropping-particle":"","family":"Indrawati","given":"","non-dropping-particle":"","parse-names":false,"suffix":""}],"id":"ITEM-1","issued":{"date-parts":[["2015"]]},"publisher":"Refika Aditama","publisher-place":"Bandung","title":"Metodologi Penelitian Manajemen dan Bisnis: Konvergensi Teknologi Komunikasi dan Informatika","type":"book"},"uris":["http://www.mendeley.com/documents/?uuid=3403e337-46f9-4354-9ce9-2e4525159480"]}],"mendeley":{"formattedCitation":"(Indrawati, 2015)","manualFormatting":"Indrawati 2015:170)","plainTextFormattedCitation":"(Indrawati, 2015)","previouslyFormattedCitation":"(Indrawati, 2015)"},"properties":{"noteIndex":0},"schema":"https://github.com/citation-style-language/schema/raw/master/csl-citation.json"}</w:instrText>
      </w:r>
      <w:r w:rsidR="00BD10EB" w:rsidRPr="00F16380">
        <w:fldChar w:fldCharType="separate"/>
      </w:r>
      <w:r w:rsidR="00BD10EB" w:rsidRPr="00F16380">
        <w:rPr>
          <w:noProof/>
        </w:rPr>
        <w:t>Indrawati</w:t>
      </w:r>
      <w:proofErr w:type="spellEnd"/>
      <w:r w:rsidR="00BD10EB" w:rsidRPr="00F16380">
        <w:rPr>
          <w:noProof/>
        </w:rPr>
        <w:t xml:space="preserve"> 2015:170)</w:t>
      </w:r>
      <w:r w:rsidR="00BD10EB" w:rsidRPr="00F16380">
        <w:fldChar w:fldCharType="end"/>
      </w:r>
      <w:r>
        <w:t>. The following are the criteria that have been determined in sampling:</w:t>
      </w:r>
    </w:p>
    <w:p w14:paraId="5246AF41" w14:textId="77777777" w:rsidR="00AB1751" w:rsidRDefault="00373A35" w:rsidP="00AB1751">
      <w:pPr>
        <w:pStyle w:val="Ventura-Content"/>
        <w:numPr>
          <w:ilvl w:val="0"/>
          <w:numId w:val="22"/>
        </w:numPr>
        <w:ind w:left="284" w:hanging="284"/>
      </w:pPr>
      <w:r>
        <w:t>Entities listed in the Jakarta Islamic Index (JII) 2015-2020</w:t>
      </w:r>
    </w:p>
    <w:p w14:paraId="7CBE273A" w14:textId="77777777" w:rsidR="00AB1751" w:rsidRDefault="00373A35" w:rsidP="00AB1751">
      <w:pPr>
        <w:pStyle w:val="Ventura-Content"/>
        <w:numPr>
          <w:ilvl w:val="0"/>
          <w:numId w:val="22"/>
        </w:numPr>
        <w:ind w:left="284" w:hanging="284"/>
      </w:pPr>
      <w:r>
        <w:t>Entities that consistently pass the Jakarta Islamic Index (JII) in the 2015-2020 period.</w:t>
      </w:r>
    </w:p>
    <w:p w14:paraId="25F3DB60" w14:textId="77777777" w:rsidR="004C40C9" w:rsidRDefault="00373A35" w:rsidP="008C55A6">
      <w:pPr>
        <w:pStyle w:val="Ventura-Content"/>
        <w:numPr>
          <w:ilvl w:val="0"/>
          <w:numId w:val="22"/>
        </w:numPr>
        <w:ind w:left="284" w:hanging="284"/>
      </w:pPr>
      <w:r>
        <w:t>Entities</w:t>
      </w:r>
      <w:r w:rsidR="00D65EC8">
        <w:t xml:space="preserve"> listed on the Jakarta Islamic Index (JII)</w:t>
      </w:r>
      <w:r>
        <w:t xml:space="preserve"> </w:t>
      </w:r>
      <w:r w:rsidR="00D65EC8">
        <w:t xml:space="preserve">consistently publish annual reports and sustainability reports for </w:t>
      </w:r>
      <w:r>
        <w:t>the 2015-2020 period</w:t>
      </w:r>
      <w:r w:rsidR="00D65EC8">
        <w:t>.</w:t>
      </w:r>
    </w:p>
    <w:p w14:paraId="1733BCBB" w14:textId="77777777" w:rsidR="008C55A6" w:rsidRDefault="00373A35" w:rsidP="0015062D">
      <w:pPr>
        <w:pStyle w:val="Keterangan"/>
        <w:spacing w:before="0" w:after="0"/>
        <w:jc w:val="center"/>
        <w:rPr>
          <w:rFonts w:ascii="Book Antiqua" w:hAnsi="Book Antiqua"/>
          <w:sz w:val="20"/>
          <w:szCs w:val="20"/>
        </w:rPr>
      </w:pPr>
      <w:r w:rsidRPr="00535507">
        <w:rPr>
          <w:rFonts w:ascii="Book Antiqua" w:hAnsi="Book Antiqua"/>
          <w:sz w:val="20"/>
          <w:szCs w:val="20"/>
        </w:rPr>
        <w:t xml:space="preserve">Table </w:t>
      </w:r>
      <w:r w:rsidRPr="00535507">
        <w:rPr>
          <w:rFonts w:ascii="Book Antiqua" w:hAnsi="Book Antiqua"/>
          <w:sz w:val="20"/>
          <w:szCs w:val="20"/>
        </w:rPr>
        <w:fldChar w:fldCharType="begin"/>
      </w:r>
      <w:r w:rsidRPr="00535507">
        <w:rPr>
          <w:rFonts w:ascii="Book Antiqua" w:hAnsi="Book Antiqua"/>
          <w:sz w:val="20"/>
          <w:szCs w:val="20"/>
        </w:rPr>
        <w:instrText xml:space="preserve"> SEQ Table \* ARABIC </w:instrText>
      </w:r>
      <w:r w:rsidRPr="00535507">
        <w:rPr>
          <w:rFonts w:ascii="Book Antiqua" w:hAnsi="Book Antiqua"/>
          <w:sz w:val="20"/>
          <w:szCs w:val="20"/>
        </w:rPr>
        <w:fldChar w:fldCharType="separate"/>
      </w:r>
      <w:r w:rsidR="00F8335B">
        <w:rPr>
          <w:rFonts w:ascii="Book Antiqua" w:hAnsi="Book Antiqua"/>
          <w:noProof/>
          <w:sz w:val="20"/>
          <w:szCs w:val="20"/>
        </w:rPr>
        <w:t>1</w:t>
      </w:r>
      <w:r w:rsidRPr="00535507">
        <w:rPr>
          <w:rFonts w:ascii="Book Antiqua" w:hAnsi="Book Antiqua"/>
          <w:sz w:val="20"/>
          <w:szCs w:val="20"/>
        </w:rPr>
        <w:fldChar w:fldCharType="end"/>
      </w:r>
      <w:r w:rsidRPr="00535507">
        <w:rPr>
          <w:rFonts w:ascii="Book Antiqua" w:hAnsi="Book Antiqua"/>
          <w:sz w:val="20"/>
          <w:szCs w:val="20"/>
        </w:rPr>
        <w:t xml:space="preserve"> Research</w:t>
      </w:r>
      <w:r w:rsidR="00634167">
        <w:rPr>
          <w:rFonts w:ascii="Book Antiqua" w:hAnsi="Book Antiqua"/>
          <w:sz w:val="20"/>
          <w:szCs w:val="20"/>
        </w:rPr>
        <w:t xml:space="preserve"> Sample</w:t>
      </w:r>
    </w:p>
    <w:p w14:paraId="36DC1705" w14:textId="77777777" w:rsidR="00A64F2F" w:rsidRPr="00A64F2F" w:rsidRDefault="00373A35" w:rsidP="00A64F2F">
      <w:pPr>
        <w:pStyle w:val="Keterangan"/>
        <w:rPr>
          <w:rFonts w:ascii="Book Antiqua" w:hAnsi="Book Antiqua"/>
          <w:i w:val="0"/>
          <w:iCs w:val="0"/>
          <w:sz w:val="20"/>
          <w:szCs w:val="20"/>
        </w:rPr>
      </w:pPr>
      <w:r w:rsidRPr="00F66EC5">
        <w:rPr>
          <w:noProof/>
        </w:rPr>
        <w:drawing>
          <wp:inline distT="0" distB="0" distL="0" distR="0" wp14:anchorId="16F76F73" wp14:editId="2D7B5C08">
            <wp:extent cx="2916555" cy="1852742"/>
            <wp:effectExtent l="0" t="0" r="0" b="0"/>
            <wp:docPr id="2" name="Gamba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r="49104"/>
                    <a:stretch>
                      <a:fillRect/>
                    </a:stretch>
                  </pic:blipFill>
                  <pic:spPr bwMode="auto">
                    <a:xfrm>
                      <a:off x="0" y="0"/>
                      <a:ext cx="2933146" cy="1863282"/>
                    </a:xfrm>
                    <a:prstGeom prst="rect">
                      <a:avLst/>
                    </a:prstGeom>
                    <a:noFill/>
                    <a:ln>
                      <a:noFill/>
                    </a:ln>
                    <a:extLst>
                      <a:ext uri="{53640926-AAD7-44D8-BBD7-CCE9431645EC}">
                        <a14:shadowObscured xmlns:a14="http://schemas.microsoft.com/office/drawing/2010/main"/>
                      </a:ext>
                    </a:extLst>
                  </pic:spPr>
                </pic:pic>
              </a:graphicData>
            </a:graphic>
          </wp:inline>
        </w:drawing>
      </w:r>
    </w:p>
    <w:p w14:paraId="346BE06D" w14:textId="77777777" w:rsidR="00E66261" w:rsidRPr="00E66261" w:rsidRDefault="00373A35" w:rsidP="00E66261">
      <w:pPr>
        <w:pStyle w:val="Ventura-Content"/>
        <w:ind w:firstLine="0"/>
        <w:rPr>
          <w:b/>
          <w:bCs/>
        </w:rPr>
      </w:pPr>
      <w:r w:rsidRPr="00E66261">
        <w:rPr>
          <w:b/>
          <w:bCs/>
        </w:rPr>
        <w:t>Research data</w:t>
      </w:r>
    </w:p>
    <w:p w14:paraId="298D859F" w14:textId="77777777" w:rsidR="003A40F4" w:rsidRPr="00B239D3" w:rsidRDefault="00373A35" w:rsidP="00B239D3">
      <w:pPr>
        <w:pStyle w:val="Ventura-Content"/>
      </w:pPr>
      <w:r>
        <w:t xml:space="preserve">This study takes a sample of companies listed on the Jakarta Islamic Index (JII) in 2015-2020. This research is quantitative research, </w:t>
      </w:r>
      <w:r w:rsidR="0027151C" w:rsidRPr="0027151C">
        <w:t>This research is quantitative research, and determines</w:t>
      </w:r>
      <w:r>
        <w:t xml:space="preserve"> the variables </w:t>
      </w:r>
      <w:r w:rsidR="0027151C" w:rsidRPr="0027151C">
        <w:t xml:space="preserve">of theory testing based on data </w:t>
      </w:r>
      <w:r>
        <w:t xml:space="preserve">measurement </w:t>
      </w:r>
      <w:r w:rsidR="0027151C" w:rsidRPr="0027151C">
        <w:t xml:space="preserve">and </w:t>
      </w:r>
      <w:r>
        <w:t xml:space="preserve">statistical </w:t>
      </w:r>
      <w:r w:rsidR="0027151C" w:rsidRPr="0027151C">
        <w:t>analysis</w:t>
      </w:r>
      <w:r>
        <w:t>. Test analysis is carried out using secondary data such as annual reports and company sustainability reports on the stock exchange website and the company's official website as well as the relevant supporting journals.</w:t>
      </w:r>
    </w:p>
    <w:p w14:paraId="354BFE4D" w14:textId="77777777" w:rsidR="001F5B59" w:rsidRPr="001F5B59" w:rsidRDefault="00373A35" w:rsidP="001F5B59">
      <w:pPr>
        <w:pStyle w:val="Ventura-Content"/>
        <w:ind w:firstLine="0"/>
        <w:rPr>
          <w:b/>
          <w:bCs/>
          <w:spacing w:val="-2"/>
        </w:rPr>
      </w:pPr>
      <w:r w:rsidRPr="001F5B59">
        <w:rPr>
          <w:b/>
          <w:bCs/>
          <w:spacing w:val="-2"/>
        </w:rPr>
        <w:t>Research variable</w:t>
      </w:r>
    </w:p>
    <w:p w14:paraId="3F67AC23" w14:textId="77777777" w:rsidR="001F5B59" w:rsidRDefault="00373A35" w:rsidP="001F5B59">
      <w:pPr>
        <w:pStyle w:val="Ventura-Content"/>
        <w:rPr>
          <w:spacing w:val="-2"/>
        </w:rPr>
      </w:pPr>
      <w:r w:rsidRPr="001F5B59">
        <w:rPr>
          <w:spacing w:val="-2"/>
        </w:rPr>
        <w:t>This study uses the dependent variable disclosure of Islamic Corporate Social Responsibility and the independent variables are Public Share Ownership, Company Size, Leverage, Profitability, and Corporate Governance.</w:t>
      </w:r>
    </w:p>
    <w:p w14:paraId="07437E3B" w14:textId="77777777" w:rsidR="005871DC" w:rsidRPr="005871DC" w:rsidRDefault="00373A35" w:rsidP="005871DC">
      <w:pPr>
        <w:pStyle w:val="Ventura-Content"/>
        <w:ind w:firstLine="0"/>
        <w:rPr>
          <w:b/>
          <w:bCs/>
          <w:spacing w:val="-2"/>
        </w:rPr>
      </w:pPr>
      <w:r w:rsidRPr="005871DC">
        <w:rPr>
          <w:b/>
          <w:bCs/>
          <w:spacing w:val="-2"/>
        </w:rPr>
        <w:t>Variable Operational Definition</w:t>
      </w:r>
    </w:p>
    <w:p w14:paraId="434E43CC" w14:textId="77777777" w:rsidR="005871DC" w:rsidRPr="005871DC" w:rsidRDefault="00373A35" w:rsidP="005871DC">
      <w:pPr>
        <w:pStyle w:val="Ventura-Content"/>
        <w:ind w:firstLine="0"/>
        <w:rPr>
          <w:b/>
          <w:bCs/>
          <w:spacing w:val="-2"/>
        </w:rPr>
      </w:pPr>
      <w:r w:rsidRPr="005871DC">
        <w:rPr>
          <w:b/>
          <w:bCs/>
          <w:spacing w:val="-2"/>
        </w:rPr>
        <w:t>Public Share Ownership</w:t>
      </w:r>
    </w:p>
    <w:p w14:paraId="2C8BC2F3" w14:textId="77777777" w:rsidR="001F5B59" w:rsidRDefault="00373A35" w:rsidP="005871DC">
      <w:pPr>
        <w:pStyle w:val="Ventura-Content"/>
        <w:rPr>
          <w:spacing w:val="-2"/>
        </w:rPr>
      </w:pPr>
      <w:r w:rsidRPr="005871DC">
        <w:rPr>
          <w:spacing w:val="-2"/>
        </w:rPr>
        <w:t xml:space="preserve">Public share ownership is the </w:t>
      </w:r>
      <w:r w:rsidR="007E0ABE" w:rsidRPr="007E0ABE">
        <w:rPr>
          <w:spacing w:val="-2"/>
        </w:rPr>
        <w:t>distribution</w:t>
      </w:r>
      <w:r w:rsidRPr="005871DC">
        <w:rPr>
          <w:spacing w:val="-2"/>
        </w:rPr>
        <w:t xml:space="preserve"> of company shares owned by the public or the public with ownership of less than 5%. Public share ownership is </w:t>
      </w:r>
      <w:r w:rsidR="007E0ABE" w:rsidRPr="007E0ABE">
        <w:rPr>
          <w:spacing w:val="-2"/>
        </w:rPr>
        <w:t>assessed based on</w:t>
      </w:r>
      <w:r w:rsidRPr="005871DC">
        <w:rPr>
          <w:spacing w:val="-2"/>
        </w:rPr>
        <w:t xml:space="preserve"> the ratio of </w:t>
      </w:r>
      <w:r w:rsidR="007E0ABE" w:rsidRPr="007E0ABE">
        <w:rPr>
          <w:spacing w:val="-2"/>
        </w:rPr>
        <w:t xml:space="preserve">outstanding </w:t>
      </w:r>
      <w:r w:rsidRPr="005871DC">
        <w:rPr>
          <w:spacing w:val="-2"/>
        </w:rPr>
        <w:t xml:space="preserve">shares to the </w:t>
      </w:r>
      <w:r w:rsidR="007E0ABE" w:rsidRPr="007E0ABE">
        <w:rPr>
          <w:spacing w:val="-2"/>
        </w:rPr>
        <w:t xml:space="preserve">public by the </w:t>
      </w:r>
      <w:r w:rsidRPr="005871DC">
        <w:rPr>
          <w:spacing w:val="-2"/>
        </w:rPr>
        <w:t>total number of shares of the company as a whole.</w:t>
      </w:r>
    </w:p>
    <w:p w14:paraId="08C2B5F4" w14:textId="77777777" w:rsidR="006940BC" w:rsidRPr="000B5909" w:rsidRDefault="00373A35" w:rsidP="006940BC">
      <w:pPr>
        <w:pStyle w:val="Ventura-Content"/>
        <w:ind w:firstLine="426"/>
      </w:pPr>
      <m:oMathPara>
        <m:oMath>
          <m:r>
            <w:rPr>
              <w:rFonts w:ascii="Cambria Math" w:hAnsi="Cambria Math"/>
            </w:rPr>
            <m:t xml:space="preserve">Public Shareholding = </m:t>
          </m:r>
          <m:f>
            <m:fPr>
              <m:ctrlPr>
                <w:rPr>
                  <w:rFonts w:ascii="Cambria Math" w:hAnsi="Cambria Math"/>
                  <w:i/>
                </w:rPr>
              </m:ctrlPr>
            </m:fPr>
            <m:num>
              <m:r>
                <w:rPr>
                  <w:rFonts w:ascii="Cambria Math" w:hAnsi="Cambria Math"/>
                </w:rPr>
                <m:t>Number of Public Shares</m:t>
              </m:r>
            </m:num>
            <m:den>
              <m:r>
                <w:rPr>
                  <w:rFonts w:ascii="Cambria Math" w:hAnsi="Cambria Math"/>
                </w:rPr>
                <m:t>Total Number of Shares</m:t>
              </m:r>
            </m:den>
          </m:f>
        </m:oMath>
      </m:oMathPara>
    </w:p>
    <w:p w14:paraId="30CB04AB" w14:textId="77777777" w:rsidR="00F539DF" w:rsidRPr="00F539DF" w:rsidRDefault="00373A35" w:rsidP="00F539DF">
      <w:pPr>
        <w:pStyle w:val="Ventura-Content"/>
        <w:ind w:firstLine="0"/>
        <w:rPr>
          <w:b/>
          <w:bCs/>
          <w:spacing w:val="-2"/>
        </w:rPr>
      </w:pPr>
      <w:r w:rsidRPr="00F539DF">
        <w:rPr>
          <w:b/>
          <w:bCs/>
          <w:spacing w:val="-2"/>
        </w:rPr>
        <w:t>Company Size</w:t>
      </w:r>
    </w:p>
    <w:p w14:paraId="777EE258" w14:textId="77777777" w:rsidR="00F539DF" w:rsidRPr="00F539DF" w:rsidRDefault="00373A35" w:rsidP="00F539DF">
      <w:pPr>
        <w:pStyle w:val="Ventura-Content"/>
        <w:rPr>
          <w:spacing w:val="-2"/>
        </w:rPr>
      </w:pPr>
      <w:r w:rsidRPr="00F539DF">
        <w:rPr>
          <w:spacing w:val="-2"/>
        </w:rPr>
        <w:t xml:space="preserve">Company size is the determination of the size of the company </w:t>
      </w:r>
      <w:r w:rsidR="00A7598F" w:rsidRPr="00A7598F">
        <w:rPr>
          <w:spacing w:val="-2"/>
        </w:rPr>
        <w:t xml:space="preserve">which is seen </w:t>
      </w:r>
      <w:r w:rsidRPr="00F539DF">
        <w:rPr>
          <w:spacing w:val="-2"/>
        </w:rPr>
        <w:t xml:space="preserve">based on the total </w:t>
      </w:r>
      <w:r w:rsidR="00A7598F" w:rsidRPr="00A7598F">
        <w:rPr>
          <w:spacing w:val="-2"/>
        </w:rPr>
        <w:t xml:space="preserve">value of the total </w:t>
      </w:r>
      <w:r w:rsidRPr="00F539DF">
        <w:rPr>
          <w:spacing w:val="-2"/>
        </w:rPr>
        <w:t xml:space="preserve">assets owned by the company. Large sizes tend to have </w:t>
      </w:r>
      <w:r w:rsidR="00A7598F" w:rsidRPr="00A7598F">
        <w:rPr>
          <w:spacing w:val="-2"/>
        </w:rPr>
        <w:t>complexities</w:t>
      </w:r>
      <w:r w:rsidRPr="00F539DF">
        <w:rPr>
          <w:spacing w:val="-2"/>
        </w:rPr>
        <w:t xml:space="preserve"> in their business operations.</w:t>
      </w:r>
    </w:p>
    <w:p w14:paraId="59BE3C15" w14:textId="77777777" w:rsidR="00C13D00" w:rsidRPr="005462D2" w:rsidRDefault="00373A35" w:rsidP="00C13D00">
      <w:pPr>
        <w:pStyle w:val="Ventura-Content"/>
      </w:pPr>
      <m:oMathPara>
        <m:oMath>
          <m:r>
            <w:rPr>
              <w:rFonts w:ascii="Cambria Math" w:hAnsi="Cambria Math"/>
            </w:rPr>
            <m:t>Size = Ln. Total Asset</m:t>
          </m:r>
        </m:oMath>
      </m:oMathPara>
    </w:p>
    <w:p w14:paraId="7213E40B" w14:textId="77777777" w:rsidR="00F372F0" w:rsidRPr="00F372F0" w:rsidRDefault="00373A35" w:rsidP="00F372F0">
      <w:pPr>
        <w:pStyle w:val="Ventura-Content"/>
        <w:ind w:firstLine="0"/>
        <w:rPr>
          <w:b/>
          <w:bCs/>
          <w:spacing w:val="-2"/>
        </w:rPr>
      </w:pPr>
      <w:r w:rsidRPr="00F372F0">
        <w:rPr>
          <w:b/>
          <w:bCs/>
          <w:spacing w:val="-2"/>
        </w:rPr>
        <w:t>Leverage</w:t>
      </w:r>
    </w:p>
    <w:p w14:paraId="002061DA" w14:textId="77777777" w:rsidR="005871DC" w:rsidRDefault="00373A35" w:rsidP="00F372F0">
      <w:pPr>
        <w:pStyle w:val="Ventura-Content"/>
        <w:rPr>
          <w:spacing w:val="-2"/>
        </w:rPr>
      </w:pPr>
      <w:r w:rsidRPr="00F372F0">
        <w:rPr>
          <w:spacing w:val="-2"/>
        </w:rPr>
        <w:t>Leverage is a measurement of a company's ability to finance its debts for operational activities by indicating the level of creditor security. Leverage can be measured using DAR (Debt to Asset Ratio) to determine the amount of ownership of company assets financed by debt.</w:t>
      </w:r>
    </w:p>
    <w:p w14:paraId="75569261" w14:textId="77777777" w:rsidR="006950CC" w:rsidRPr="004D382D" w:rsidRDefault="00373A35" w:rsidP="006950CC">
      <w:pPr>
        <w:pStyle w:val="Ventura-Content"/>
      </w:pPr>
      <m:oMathPara>
        <m:oMath>
          <m:r>
            <w:rPr>
              <w:rFonts w:ascii="Cambria Math" w:hAnsi="Cambria Math"/>
            </w:rPr>
            <m:t xml:space="preserve">Debt to Asset Ratio = </m:t>
          </m:r>
          <m:f>
            <m:fPr>
              <m:ctrlPr>
                <w:rPr>
                  <w:rFonts w:ascii="Cambria Math" w:hAnsi="Cambria Math"/>
                  <w:i/>
                </w:rPr>
              </m:ctrlPr>
            </m:fPr>
            <m:num>
              <m:r>
                <w:rPr>
                  <w:rFonts w:ascii="Cambria Math" w:hAnsi="Cambria Math"/>
                </w:rPr>
                <m:t>total debt</m:t>
              </m:r>
            </m:num>
            <m:den>
              <m:r>
                <w:rPr>
                  <w:rFonts w:ascii="Cambria Math" w:hAnsi="Cambria Math"/>
                </w:rPr>
                <m:t>Total Asset</m:t>
              </m:r>
            </m:den>
          </m:f>
        </m:oMath>
      </m:oMathPara>
    </w:p>
    <w:p w14:paraId="153A7732" w14:textId="77777777" w:rsidR="009A2185" w:rsidRPr="009A2185" w:rsidRDefault="00373A35" w:rsidP="009A2185">
      <w:pPr>
        <w:pStyle w:val="Ventura-Content"/>
        <w:ind w:firstLine="0"/>
        <w:rPr>
          <w:b/>
          <w:bCs/>
          <w:spacing w:val="-2"/>
        </w:rPr>
      </w:pPr>
      <w:r w:rsidRPr="009A2185">
        <w:rPr>
          <w:b/>
          <w:bCs/>
          <w:spacing w:val="-2"/>
        </w:rPr>
        <w:t>Profitability</w:t>
      </w:r>
    </w:p>
    <w:p w14:paraId="7EFB86DC" w14:textId="77777777" w:rsidR="005871DC" w:rsidRDefault="00373A35" w:rsidP="009A2185">
      <w:pPr>
        <w:pStyle w:val="Ventura-Content"/>
        <w:rPr>
          <w:spacing w:val="-2"/>
        </w:rPr>
      </w:pPr>
      <w:r w:rsidRPr="009A2185">
        <w:rPr>
          <w:spacing w:val="-2"/>
        </w:rPr>
        <w:t xml:space="preserve">Profitability is </w:t>
      </w:r>
      <w:r w:rsidR="00BC3DEE" w:rsidRPr="00BC3DEE">
        <w:rPr>
          <w:spacing w:val="-2"/>
        </w:rPr>
        <w:t xml:space="preserve">a ratio that reflects </w:t>
      </w:r>
      <w:r w:rsidRPr="009A2185">
        <w:rPr>
          <w:spacing w:val="-2"/>
        </w:rPr>
        <w:t xml:space="preserve">the company's ability to </w:t>
      </w:r>
      <w:r w:rsidR="00BC3DEE" w:rsidRPr="00BC3DEE">
        <w:rPr>
          <w:spacing w:val="-2"/>
        </w:rPr>
        <w:t>obtain a margin</w:t>
      </w:r>
      <w:r w:rsidRPr="009A2185">
        <w:rPr>
          <w:spacing w:val="-2"/>
        </w:rPr>
        <w:t xml:space="preserve">. According to </w:t>
      </w:r>
      <w:r w:rsidR="003D3E65" w:rsidRPr="00B52F3C">
        <w:fldChar w:fldCharType="begin" w:fldLock="1"/>
      </w:r>
      <w:r w:rsidR="003D3E65" w:rsidRPr="00B52F3C">
        <w:instrText>ADDIN CSL_CITATION {"citationItems":[{"id":"ITEM-1","itemData":{"author":[{"dropping-particle":"","family":"Hery","given":"","non-dropping-particle":"","parse-names":false,"suffix":""}],"id":"ITEM-1","issued":{"date-parts":[["2016"]]},"publisher":"Center of Academic Publishing Service","publisher-place":"Jakarta","title":"Analisis Laporan Keuangan Pendekatan Rasio Keuangan","type":"book"},"uris":["http://www.mendeley.com/documents/?uuid=16bfb8fa-36a8-4278-acc7-6b157290d8fe"]}],"mendeley":{"formattedCitation":"(Hery, 2016)","manualFormatting":"Hery (2016:199)","plainTextFormattedCitation":"(Hery, 2016)","previouslyFormattedCitation":"(Hery, 2016)"},"properties":{"noteIndex":0},"schema":"https://github.com/citation-style-language/schema/raw/master/csl-citation.json"}</w:instrText>
      </w:r>
      <w:r w:rsidR="003D3E65" w:rsidRPr="00B52F3C">
        <w:fldChar w:fldCharType="separate"/>
      </w:r>
      <w:r w:rsidR="003D3E65" w:rsidRPr="00B52F3C">
        <w:rPr>
          <w:noProof/>
        </w:rPr>
        <w:t>Henry (2016:199)</w:t>
      </w:r>
      <w:r w:rsidR="003D3E65" w:rsidRPr="00B52F3C">
        <w:fldChar w:fldCharType="end"/>
      </w:r>
      <w:r w:rsidRPr="009A2185">
        <w:rPr>
          <w:spacing w:val="-2"/>
        </w:rPr>
        <w:t>, net profit margin (NPM) is a profitability ratio that is calculated based on the percentage of net profit with the level of sales obtained by the company.</w:t>
      </w:r>
    </w:p>
    <w:p w14:paraId="1271B3FD" w14:textId="77777777" w:rsidR="00DC4387" w:rsidRDefault="00373A35" w:rsidP="00DC4387">
      <w:pPr>
        <w:pStyle w:val="Ventura-Content"/>
      </w:pPr>
      <m:oMathPara>
        <m:oMath>
          <m:r>
            <w:rPr>
              <w:rFonts w:ascii="Cambria Math" w:hAnsi="Cambria Math"/>
            </w:rPr>
            <m:t>Net Profit Margin =</m:t>
          </m:r>
          <m:f>
            <m:fPr>
              <m:ctrlPr>
                <w:rPr>
                  <w:rFonts w:ascii="Cambria Math" w:hAnsi="Cambria Math"/>
                  <w:i/>
                </w:rPr>
              </m:ctrlPr>
            </m:fPr>
            <m:num>
              <m:r>
                <w:rPr>
                  <w:rFonts w:ascii="Cambria Math" w:hAnsi="Cambria Math"/>
                </w:rPr>
                <m:t>profit after-tax</m:t>
              </m:r>
            </m:num>
            <m:den>
              <m:r>
                <w:rPr>
                  <w:rFonts w:ascii="Cambria Math" w:hAnsi="Cambria Math"/>
                </w:rPr>
                <m:t xml:space="preserve"> total income</m:t>
              </m:r>
            </m:den>
          </m:f>
        </m:oMath>
      </m:oMathPara>
    </w:p>
    <w:p w14:paraId="2F12B35F" w14:textId="77777777" w:rsidR="00A047E8" w:rsidRPr="00A047E8" w:rsidRDefault="00373A35" w:rsidP="00A047E8">
      <w:pPr>
        <w:pStyle w:val="Ventura-Content"/>
        <w:ind w:firstLine="0"/>
        <w:rPr>
          <w:b/>
          <w:bCs/>
          <w:spacing w:val="-2"/>
        </w:rPr>
      </w:pPr>
      <w:r w:rsidRPr="00A047E8">
        <w:rPr>
          <w:b/>
          <w:bCs/>
          <w:spacing w:val="-2"/>
        </w:rPr>
        <w:t>Corporate Governance</w:t>
      </w:r>
    </w:p>
    <w:p w14:paraId="7B7821C5" w14:textId="77777777" w:rsidR="009A2185" w:rsidRDefault="00373A35" w:rsidP="00A047E8">
      <w:pPr>
        <w:pStyle w:val="Ventura-Content"/>
        <w:rPr>
          <w:spacing w:val="-2"/>
        </w:rPr>
      </w:pPr>
      <w:r w:rsidRPr="00A047E8">
        <w:rPr>
          <w:spacing w:val="-2"/>
        </w:rPr>
        <w:t xml:space="preserve">The components </w:t>
      </w:r>
      <w:r w:rsidR="00C37219" w:rsidRPr="00C37219">
        <w:rPr>
          <w:spacing w:val="-2"/>
        </w:rPr>
        <w:t>that incorporate</w:t>
      </w:r>
      <w:r w:rsidRPr="00A047E8">
        <w:rPr>
          <w:spacing w:val="-2"/>
        </w:rPr>
        <w:t xml:space="preserve"> governance consist of the board of commissioners, the board of directors, and the audit committee. Where these components have an important role in decision making. The </w:t>
      </w:r>
      <w:r w:rsidR="00C37219" w:rsidRPr="00C37219">
        <w:rPr>
          <w:spacing w:val="-2"/>
        </w:rPr>
        <w:t>dose</w:t>
      </w:r>
      <w:r w:rsidRPr="00A047E8">
        <w:rPr>
          <w:spacing w:val="-2"/>
        </w:rPr>
        <w:t xml:space="preserve"> of each board of directors is expected to be able to provide wiser decisions in the company. As</w:t>
      </w:r>
      <w:r w:rsidR="00C37219" w:rsidRPr="00C37219">
        <w:rPr>
          <w:spacing w:val="-2"/>
        </w:rPr>
        <w:t xml:space="preserve"> for</w:t>
      </w:r>
      <w:r w:rsidRPr="00A047E8">
        <w:rPr>
          <w:spacing w:val="-2"/>
        </w:rPr>
        <w:t xml:space="preserve"> in this study, indicators of corporate governance are the </w:t>
      </w:r>
      <w:r w:rsidR="00C37219" w:rsidRPr="00C37219">
        <w:rPr>
          <w:spacing w:val="-2"/>
        </w:rPr>
        <w:t>number of doses</w:t>
      </w:r>
      <w:r w:rsidRPr="00A047E8">
        <w:rPr>
          <w:spacing w:val="-2"/>
        </w:rPr>
        <w:t xml:space="preserve"> of the Board of Commissioners (BC), Board of Directors (BD</w:t>
      </w:r>
      <w:r w:rsidR="00C37219" w:rsidRPr="00C37219">
        <w:rPr>
          <w:spacing w:val="-2"/>
        </w:rPr>
        <w:t>)</w:t>
      </w:r>
      <w:r w:rsidRPr="00A047E8">
        <w:rPr>
          <w:spacing w:val="-2"/>
        </w:rPr>
        <w:t>, and Audit Committee (AC).</w:t>
      </w:r>
    </w:p>
    <w:p w14:paraId="4AB46FBD" w14:textId="77777777" w:rsidR="00DB39C7" w:rsidRPr="00F331D9" w:rsidRDefault="00373A35" w:rsidP="00DB39C7">
      <w:pPr>
        <w:pStyle w:val="Ventura-Content"/>
      </w:pPr>
      <m:oMathPara>
        <m:oMath>
          <m:r>
            <m:rPr>
              <m:sty m:val="p"/>
            </m:rPr>
            <w:rPr>
              <w:rFonts w:ascii="Cambria Math" w:hAnsi="Cambria Math"/>
            </w:rPr>
            <m:t>Corporate Governance = BC +  BD+ AC</m:t>
          </m:r>
        </m:oMath>
      </m:oMathPara>
    </w:p>
    <w:p w14:paraId="072F722A" w14:textId="77777777" w:rsidR="001A34D1" w:rsidRPr="001A34D1" w:rsidRDefault="00373A35" w:rsidP="001A34D1">
      <w:pPr>
        <w:pStyle w:val="Ventura-Content"/>
        <w:ind w:firstLine="0"/>
        <w:rPr>
          <w:b/>
          <w:bCs/>
          <w:spacing w:val="-2"/>
        </w:rPr>
      </w:pPr>
      <w:r w:rsidRPr="001A34D1">
        <w:rPr>
          <w:b/>
          <w:bCs/>
          <w:spacing w:val="-2"/>
        </w:rPr>
        <w:t>Analysis Tools</w:t>
      </w:r>
    </w:p>
    <w:p w14:paraId="423B7A31" w14:textId="77777777" w:rsidR="009A2185" w:rsidRDefault="00373A35" w:rsidP="001A34D1">
      <w:pPr>
        <w:pStyle w:val="Ventura-Content"/>
        <w:rPr>
          <w:spacing w:val="-2"/>
        </w:rPr>
      </w:pPr>
      <w:r w:rsidRPr="005703B8">
        <w:rPr>
          <w:spacing w:val="-2"/>
        </w:rPr>
        <w:t>Panel</w:t>
      </w:r>
      <w:r w:rsidR="00D65EC8" w:rsidRPr="001A34D1">
        <w:rPr>
          <w:spacing w:val="-2"/>
        </w:rPr>
        <w:t xml:space="preserve"> data regression </w:t>
      </w:r>
      <w:r w:rsidRPr="005703B8">
        <w:rPr>
          <w:spacing w:val="-2"/>
        </w:rPr>
        <w:t>is</w:t>
      </w:r>
      <w:r w:rsidR="00D65EC8" w:rsidRPr="001A34D1">
        <w:rPr>
          <w:spacing w:val="-2"/>
        </w:rPr>
        <w:t xml:space="preserve"> used to examine the effect of Public Share Ownership (Public), </w:t>
      </w:r>
      <w:r w:rsidRPr="005703B8">
        <w:rPr>
          <w:spacing w:val="-2"/>
        </w:rPr>
        <w:t>Company</w:t>
      </w:r>
      <w:r w:rsidR="00D65EC8" w:rsidRPr="001A34D1">
        <w:rPr>
          <w:spacing w:val="-2"/>
        </w:rPr>
        <w:t xml:space="preserve"> Size (Size), Leverage (Lev), Profitability (Prof), and Corporate Governance (CG) on the disclosure of Islamic Corporate Social Responsibility (ICSR). companies registered with JII in 2015-2020. The regression equation used is as follows:</w:t>
      </w:r>
    </w:p>
    <w:p w14:paraId="7ECB87D5" w14:textId="77777777" w:rsidR="006950CC" w:rsidRPr="00A856DE" w:rsidRDefault="00373A35" w:rsidP="00A856DE">
      <w:pPr>
        <w:jc w:val="left"/>
      </w:pPr>
      <w:r>
        <w:t>ICSR</w:t>
      </w:r>
      <w:r w:rsidRPr="001622D4">
        <w:t xml:space="preserve"> = β</w:t>
      </w:r>
      <w:r w:rsidRPr="001622D4">
        <w:rPr>
          <w:vertAlign w:val="subscript"/>
        </w:rPr>
        <w:t>0</w:t>
      </w:r>
      <w:r w:rsidRPr="001622D4">
        <w:t xml:space="preserve"> + β</w:t>
      </w:r>
      <w:r w:rsidRPr="001622D4">
        <w:rPr>
          <w:vertAlign w:val="subscript"/>
        </w:rPr>
        <w:t>1</w:t>
      </w:r>
      <w:r w:rsidRPr="001622D4">
        <w:t>.PS + β</w:t>
      </w:r>
      <w:r w:rsidRPr="001622D4">
        <w:rPr>
          <w:vertAlign w:val="subscript"/>
        </w:rPr>
        <w:t>2</w:t>
      </w:r>
      <w:r w:rsidRPr="001622D4">
        <w:t>.SIZE + β</w:t>
      </w:r>
      <w:r w:rsidRPr="001622D4">
        <w:rPr>
          <w:vertAlign w:val="subscript"/>
        </w:rPr>
        <w:t>3</w:t>
      </w:r>
      <w:r w:rsidRPr="001622D4">
        <w:t>.</w:t>
      </w:r>
      <w:r>
        <w:t>DAR</w:t>
      </w:r>
      <w:r w:rsidRPr="001622D4">
        <w:t xml:space="preserve"> + β</w:t>
      </w:r>
      <w:r w:rsidRPr="001622D4">
        <w:rPr>
          <w:vertAlign w:val="subscript"/>
        </w:rPr>
        <w:t>4</w:t>
      </w:r>
      <w:r w:rsidRPr="001622D4">
        <w:t>.</w:t>
      </w:r>
      <w:r>
        <w:t>NPM</w:t>
      </w:r>
      <w:r w:rsidRPr="001622D4">
        <w:t xml:space="preserve"> + β</w:t>
      </w:r>
      <w:r w:rsidRPr="001622D4">
        <w:rPr>
          <w:vertAlign w:val="subscript"/>
        </w:rPr>
        <w:t>5</w:t>
      </w:r>
      <w:r w:rsidRPr="001622D4">
        <w:t>.CG + ɛ</w:t>
      </w:r>
    </w:p>
    <w:p w14:paraId="6126F502" w14:textId="77777777" w:rsidR="00021477" w:rsidRPr="00021477" w:rsidRDefault="00373A35" w:rsidP="00021477">
      <w:pPr>
        <w:pStyle w:val="Ventura-Content"/>
        <w:rPr>
          <w:spacing w:val="-2"/>
        </w:rPr>
      </w:pPr>
      <w:r>
        <w:rPr>
          <w:spacing w:val="-2"/>
        </w:rPr>
        <w:t>Notes</w:t>
      </w:r>
      <w:r w:rsidRPr="00021477">
        <w:rPr>
          <w:spacing w:val="-2"/>
        </w:rPr>
        <w:t>:</w:t>
      </w:r>
    </w:p>
    <w:p w14:paraId="2E9226AB" w14:textId="77777777" w:rsidR="002E556E" w:rsidRPr="001622D4" w:rsidRDefault="00373A35" w:rsidP="005F0921">
      <w:pPr>
        <w:tabs>
          <w:tab w:val="left" w:pos="709"/>
        </w:tabs>
        <w:ind w:firstLine="142"/>
      </w:pPr>
      <w:r w:rsidRPr="001622D4">
        <w:t>Y</w:t>
      </w:r>
      <w:r w:rsidR="005F0921">
        <w:tab/>
      </w:r>
      <w:r w:rsidRPr="001622D4">
        <w:t xml:space="preserve">: </w:t>
      </w:r>
      <w:r w:rsidR="005F0921" w:rsidRPr="005F0921">
        <w:t>Disclosure of ICSR</w:t>
      </w:r>
    </w:p>
    <w:p w14:paraId="37E238E6" w14:textId="77777777" w:rsidR="002E556E" w:rsidRPr="001622D4" w:rsidRDefault="00373A35" w:rsidP="005F0921">
      <w:pPr>
        <w:tabs>
          <w:tab w:val="left" w:pos="709"/>
        </w:tabs>
        <w:ind w:firstLine="142"/>
      </w:pPr>
      <w:r w:rsidRPr="001622D4">
        <w:t>β</w:t>
      </w:r>
      <w:r w:rsidRPr="001622D4">
        <w:rPr>
          <w:vertAlign w:val="subscript"/>
        </w:rPr>
        <w:t>0</w:t>
      </w:r>
      <w:r w:rsidRPr="001622D4">
        <w:t xml:space="preserve"> </w:t>
      </w:r>
      <w:r w:rsidR="005F0921">
        <w:tab/>
      </w:r>
      <w:r w:rsidRPr="001622D4">
        <w:t xml:space="preserve">: </w:t>
      </w:r>
      <w:r w:rsidR="00131DBF" w:rsidRPr="00131DBF">
        <w:t>Constant</w:t>
      </w:r>
    </w:p>
    <w:p w14:paraId="7CADB408" w14:textId="77777777" w:rsidR="002E556E" w:rsidRPr="001622D4" w:rsidRDefault="00373A35" w:rsidP="005F0921">
      <w:pPr>
        <w:tabs>
          <w:tab w:val="left" w:pos="709"/>
        </w:tabs>
        <w:ind w:firstLine="142"/>
      </w:pPr>
      <w:r w:rsidRPr="001622D4">
        <w:t>β</w:t>
      </w:r>
      <w:r w:rsidRPr="001622D4">
        <w:rPr>
          <w:vertAlign w:val="subscript"/>
        </w:rPr>
        <w:t>1-5</w:t>
      </w:r>
      <w:r w:rsidR="005F0921">
        <w:rPr>
          <w:vertAlign w:val="subscript"/>
        </w:rPr>
        <w:tab/>
      </w:r>
      <w:r w:rsidRPr="001622D4">
        <w:rPr>
          <w:vertAlign w:val="subscript"/>
        </w:rPr>
        <w:t xml:space="preserve"> </w:t>
      </w:r>
      <w:r w:rsidRPr="001622D4">
        <w:t xml:space="preserve">: </w:t>
      </w:r>
      <w:r w:rsidR="00131DBF" w:rsidRPr="00131DBF">
        <w:t>Regression coefficient of independent variables</w:t>
      </w:r>
    </w:p>
    <w:p w14:paraId="2EE08700" w14:textId="77777777" w:rsidR="002E556E" w:rsidRPr="001622D4" w:rsidRDefault="00373A35" w:rsidP="005F0921">
      <w:pPr>
        <w:tabs>
          <w:tab w:val="left" w:pos="709"/>
        </w:tabs>
        <w:ind w:firstLine="142"/>
      </w:pPr>
      <w:r w:rsidRPr="001622D4">
        <w:t>P</w:t>
      </w:r>
      <w:r>
        <w:t>ublic</w:t>
      </w:r>
      <w:r w:rsidR="005F0921">
        <w:tab/>
      </w:r>
      <w:r w:rsidRPr="001622D4">
        <w:t xml:space="preserve">: </w:t>
      </w:r>
      <w:r w:rsidR="00CA5C86" w:rsidRPr="00CA5C86">
        <w:t>Public share ownership</w:t>
      </w:r>
    </w:p>
    <w:p w14:paraId="76A7DAA5" w14:textId="77777777" w:rsidR="002E556E" w:rsidRPr="001622D4" w:rsidRDefault="00373A35" w:rsidP="005F0921">
      <w:pPr>
        <w:tabs>
          <w:tab w:val="left" w:pos="709"/>
        </w:tabs>
        <w:ind w:firstLine="142"/>
      </w:pPr>
      <w:r w:rsidRPr="001622D4">
        <w:t xml:space="preserve">SIZ: </w:t>
      </w:r>
      <w:r w:rsidR="00CA5C86" w:rsidRPr="00CA5C86">
        <w:t>Company Size</w:t>
      </w:r>
    </w:p>
    <w:p w14:paraId="207BEF5E" w14:textId="77777777" w:rsidR="002E556E" w:rsidRPr="001622D4" w:rsidRDefault="00373A35" w:rsidP="005F0921">
      <w:pPr>
        <w:tabs>
          <w:tab w:val="left" w:pos="709"/>
        </w:tabs>
        <w:ind w:firstLine="142"/>
      </w:pPr>
      <w:r>
        <w:t>DAR</w:t>
      </w:r>
      <w:r w:rsidR="005F0921">
        <w:tab/>
      </w:r>
      <w:r w:rsidRPr="001622D4">
        <w:t xml:space="preserve">: </w:t>
      </w:r>
      <w:r w:rsidRPr="001622D4">
        <w:rPr>
          <w:i/>
          <w:iCs/>
        </w:rPr>
        <w:t>Leverage</w:t>
      </w:r>
    </w:p>
    <w:p w14:paraId="4D9AB3B4" w14:textId="77777777" w:rsidR="002E556E" w:rsidRPr="001622D4" w:rsidRDefault="00373A35" w:rsidP="005F0921">
      <w:pPr>
        <w:tabs>
          <w:tab w:val="left" w:pos="709"/>
        </w:tabs>
        <w:ind w:firstLine="142"/>
      </w:pPr>
      <w:r>
        <w:t>NPM</w:t>
      </w:r>
      <w:r w:rsidR="005F0921">
        <w:tab/>
      </w:r>
      <w:r w:rsidRPr="001622D4">
        <w:t xml:space="preserve">: </w:t>
      </w:r>
      <w:r w:rsidR="005B05E6" w:rsidRPr="005B05E6">
        <w:t>Profitability</w:t>
      </w:r>
    </w:p>
    <w:p w14:paraId="42ECCFF7" w14:textId="77777777" w:rsidR="002E556E" w:rsidRDefault="00373A35" w:rsidP="005F0921">
      <w:pPr>
        <w:tabs>
          <w:tab w:val="left" w:pos="709"/>
        </w:tabs>
        <w:ind w:firstLine="142"/>
        <w:rPr>
          <w:i/>
          <w:iCs/>
        </w:rPr>
      </w:pPr>
      <w:r w:rsidRPr="001622D4">
        <w:t>CG</w:t>
      </w:r>
      <w:r>
        <w:tab/>
      </w:r>
      <w:r w:rsidRPr="001622D4">
        <w:t xml:space="preserve">: </w:t>
      </w:r>
      <w:r w:rsidRPr="001622D4">
        <w:rPr>
          <w:i/>
          <w:iCs/>
        </w:rPr>
        <w:t xml:space="preserve">Corporate governance </w:t>
      </w:r>
    </w:p>
    <w:p w14:paraId="11F30CD4" w14:textId="77777777" w:rsidR="00A856DE" w:rsidRPr="002E556E" w:rsidRDefault="00373A35" w:rsidP="005F0921">
      <w:pPr>
        <w:tabs>
          <w:tab w:val="left" w:pos="709"/>
        </w:tabs>
        <w:ind w:firstLine="142"/>
      </w:pPr>
      <w:r w:rsidRPr="001622D4">
        <w:t xml:space="preserve">ɛ </w:t>
      </w:r>
      <w:r>
        <w:tab/>
      </w:r>
      <w:r w:rsidRPr="001622D4">
        <w:t xml:space="preserve">: </w:t>
      </w:r>
      <w:r w:rsidRPr="001622D4">
        <w:rPr>
          <w:i/>
          <w:iCs/>
        </w:rPr>
        <w:t>Error term</w:t>
      </w:r>
    </w:p>
    <w:p w14:paraId="343FC92E" w14:textId="77777777" w:rsidR="001F5B59" w:rsidRDefault="001F5B59" w:rsidP="00BC0712">
      <w:pPr>
        <w:pStyle w:val="Ventura-Content"/>
        <w:ind w:firstLine="0"/>
        <w:rPr>
          <w:spacing w:val="-2"/>
        </w:rPr>
      </w:pPr>
    </w:p>
    <w:p w14:paraId="0E15AAFA" w14:textId="77777777" w:rsidR="00AB332B" w:rsidRPr="002B4317" w:rsidRDefault="00373A35" w:rsidP="00AB332B">
      <w:pPr>
        <w:pStyle w:val="Ventura-Heading1"/>
      </w:pPr>
      <w:r w:rsidRPr="002B4317">
        <w:t>4. DATA ANALYSIS AND DISCUSSION</w:t>
      </w:r>
    </w:p>
    <w:p w14:paraId="704CF450" w14:textId="77777777" w:rsidR="00B239D3" w:rsidRPr="00B239D3" w:rsidRDefault="00373A35" w:rsidP="00B239D3">
      <w:pPr>
        <w:pStyle w:val="Ventura-Content"/>
        <w:ind w:firstLine="0"/>
        <w:rPr>
          <w:b/>
          <w:bCs/>
          <w:spacing w:val="-2"/>
        </w:rPr>
      </w:pPr>
      <w:r w:rsidRPr="00B239D3">
        <w:rPr>
          <w:b/>
          <w:bCs/>
          <w:spacing w:val="-2"/>
        </w:rPr>
        <w:t>Descriptive statistics</w:t>
      </w:r>
    </w:p>
    <w:p w14:paraId="53458371" w14:textId="77777777" w:rsidR="00AB332B" w:rsidRDefault="00373A35" w:rsidP="007174E3">
      <w:pPr>
        <w:pStyle w:val="Ventura-Content"/>
        <w:ind w:firstLine="0"/>
        <w:rPr>
          <w:spacing w:val="-2"/>
        </w:rPr>
      </w:pPr>
      <w:r w:rsidRPr="00B239D3">
        <w:rPr>
          <w:spacing w:val="-2"/>
        </w:rPr>
        <w:t>Descriptive analysis is used to explain the variables used in the study, such as Islamic Corporate Social Responsibility (ICSR), Public Share Ownership (Public), Company Size (SIZE), Leverage (DAR), Profitability ( NPM), and Corporate Governance (CG)</w:t>
      </w:r>
      <w:r w:rsidR="005347B2">
        <w:rPr>
          <w:spacing w:val="-2"/>
        </w:rPr>
        <w:t>.</w:t>
      </w:r>
    </w:p>
    <w:p w14:paraId="2CD072EC" w14:textId="77777777" w:rsidR="005347B2" w:rsidRPr="00E55612" w:rsidRDefault="00373A35" w:rsidP="00B41D63">
      <w:pPr>
        <w:pStyle w:val="Keterangan"/>
        <w:spacing w:before="0" w:after="0"/>
        <w:jc w:val="center"/>
        <w:rPr>
          <w:rFonts w:ascii="Book Antiqua" w:hAnsi="Book Antiqua"/>
          <w:i w:val="0"/>
          <w:iCs w:val="0"/>
          <w:spacing w:val="-2"/>
          <w:sz w:val="20"/>
          <w:szCs w:val="20"/>
        </w:rPr>
      </w:pPr>
      <w:r w:rsidRPr="00E55612">
        <w:rPr>
          <w:rFonts w:ascii="Book Antiqua" w:hAnsi="Book Antiqua"/>
          <w:i w:val="0"/>
          <w:iCs w:val="0"/>
          <w:sz w:val="20"/>
          <w:szCs w:val="20"/>
        </w:rPr>
        <w:t xml:space="preserve">Table </w:t>
      </w:r>
      <w:r w:rsidRPr="00E55612">
        <w:rPr>
          <w:rFonts w:ascii="Book Antiqua" w:hAnsi="Book Antiqua"/>
          <w:i w:val="0"/>
          <w:iCs w:val="0"/>
          <w:sz w:val="20"/>
          <w:szCs w:val="20"/>
        </w:rPr>
        <w:fldChar w:fldCharType="begin"/>
      </w:r>
      <w:r w:rsidRPr="00E55612">
        <w:rPr>
          <w:rFonts w:ascii="Book Antiqua" w:hAnsi="Book Antiqua"/>
          <w:i w:val="0"/>
          <w:iCs w:val="0"/>
          <w:sz w:val="20"/>
          <w:szCs w:val="20"/>
        </w:rPr>
        <w:instrText xml:space="preserve"> SEQ Table \* ARABIC </w:instrText>
      </w:r>
      <w:r w:rsidRPr="00E55612">
        <w:rPr>
          <w:rFonts w:ascii="Book Antiqua" w:hAnsi="Book Antiqua"/>
          <w:i w:val="0"/>
          <w:iCs w:val="0"/>
          <w:sz w:val="20"/>
          <w:szCs w:val="20"/>
        </w:rPr>
        <w:fldChar w:fldCharType="separate"/>
      </w:r>
      <w:r w:rsidR="00F8335B">
        <w:rPr>
          <w:rFonts w:ascii="Book Antiqua" w:hAnsi="Book Antiqua"/>
          <w:i w:val="0"/>
          <w:iCs w:val="0"/>
          <w:noProof/>
          <w:sz w:val="20"/>
          <w:szCs w:val="20"/>
        </w:rPr>
        <w:t>2</w:t>
      </w:r>
      <w:r w:rsidRPr="00E55612">
        <w:rPr>
          <w:rFonts w:ascii="Book Antiqua" w:hAnsi="Book Antiqua"/>
          <w:i w:val="0"/>
          <w:iCs w:val="0"/>
          <w:sz w:val="20"/>
          <w:szCs w:val="20"/>
        </w:rPr>
        <w:fldChar w:fldCharType="end"/>
      </w:r>
      <w:r w:rsidRPr="00E55612">
        <w:rPr>
          <w:rFonts w:ascii="Book Antiqua" w:hAnsi="Book Antiqua"/>
          <w:i w:val="0"/>
          <w:iCs w:val="0"/>
          <w:sz w:val="20"/>
          <w:szCs w:val="20"/>
        </w:rPr>
        <w:t xml:space="preserve"> Descriptive Analysis Results</w:t>
      </w:r>
    </w:p>
    <w:p w14:paraId="53D59EA6" w14:textId="77777777" w:rsidR="003A40F4" w:rsidRDefault="00373A35" w:rsidP="002B719E">
      <w:pPr>
        <w:pStyle w:val="Ventura-Content"/>
        <w:ind w:firstLine="0"/>
        <w:rPr>
          <w:spacing w:val="-2"/>
        </w:rPr>
      </w:pPr>
      <w:r w:rsidRPr="00405EEF">
        <w:rPr>
          <w:noProof/>
        </w:rPr>
        <w:drawing>
          <wp:inline distT="0" distB="0" distL="0" distR="0" wp14:anchorId="70865CCB" wp14:editId="6DA2D94B">
            <wp:extent cx="2906201" cy="806450"/>
            <wp:effectExtent l="0" t="0" r="0" b="0"/>
            <wp:docPr id="4" name="Gambar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r="23579"/>
                    <a:stretch>
                      <a:fillRect/>
                    </a:stretch>
                  </pic:blipFill>
                  <pic:spPr bwMode="auto">
                    <a:xfrm>
                      <a:off x="0" y="0"/>
                      <a:ext cx="2940486" cy="815964"/>
                    </a:xfrm>
                    <a:prstGeom prst="rect">
                      <a:avLst/>
                    </a:prstGeom>
                    <a:noFill/>
                    <a:ln>
                      <a:noFill/>
                    </a:ln>
                    <a:extLst>
                      <a:ext uri="{53640926-AAD7-44D8-BBD7-CCE9431645EC}">
                        <a14:shadowObscured xmlns:a14="http://schemas.microsoft.com/office/drawing/2010/main"/>
                      </a:ext>
                    </a:extLst>
                  </pic:spPr>
                </pic:pic>
              </a:graphicData>
            </a:graphic>
          </wp:inline>
        </w:drawing>
      </w:r>
    </w:p>
    <w:p w14:paraId="45343B1E" w14:textId="77777777" w:rsidR="002B719E" w:rsidRDefault="00373A35" w:rsidP="00F01EB2">
      <w:pPr>
        <w:pStyle w:val="Ventura-Content"/>
        <w:ind w:firstLine="0"/>
        <w:rPr>
          <w:spacing w:val="-2"/>
        </w:rPr>
      </w:pPr>
      <w:r w:rsidRPr="00F01EB2">
        <w:rPr>
          <w:spacing w:val="-2"/>
        </w:rPr>
        <w:t>Source: Data Analysis</w:t>
      </w:r>
    </w:p>
    <w:p w14:paraId="7FCCCE8D" w14:textId="77777777" w:rsidR="00386624" w:rsidRPr="00386624" w:rsidRDefault="00373A35" w:rsidP="00386624">
      <w:pPr>
        <w:pStyle w:val="Ventura-Content"/>
        <w:rPr>
          <w:spacing w:val="-2"/>
        </w:rPr>
      </w:pPr>
      <w:r w:rsidRPr="00386624">
        <w:rPr>
          <w:spacing w:val="-2"/>
        </w:rPr>
        <w:t xml:space="preserve">Based on table 2, shows that the minimum value of ICSR disclosure is 0.379310 owned by PT Wijaya </w:t>
      </w:r>
      <w:proofErr w:type="spellStart"/>
      <w:r w:rsidRPr="00386624">
        <w:rPr>
          <w:spacing w:val="-2"/>
        </w:rPr>
        <w:t>Karya</w:t>
      </w:r>
      <w:proofErr w:type="spellEnd"/>
      <w:r w:rsidRPr="00386624">
        <w:rPr>
          <w:spacing w:val="-2"/>
        </w:rPr>
        <w:t xml:space="preserve"> </w:t>
      </w:r>
      <w:proofErr w:type="spellStart"/>
      <w:r w:rsidRPr="00386624">
        <w:rPr>
          <w:spacing w:val="-2"/>
        </w:rPr>
        <w:t>Tbk</w:t>
      </w:r>
      <w:proofErr w:type="spellEnd"/>
      <w:r w:rsidRPr="00386624">
        <w:rPr>
          <w:spacing w:val="-2"/>
        </w:rPr>
        <w:t xml:space="preserve"> (WIKA) in 2015. The maximum value is 0.620890 owned by PT Astra International </w:t>
      </w:r>
      <w:proofErr w:type="spellStart"/>
      <w:r w:rsidRPr="00386624">
        <w:rPr>
          <w:spacing w:val="-2"/>
        </w:rPr>
        <w:t>Tbk</w:t>
      </w:r>
      <w:proofErr w:type="spellEnd"/>
      <w:r w:rsidRPr="00386624">
        <w:rPr>
          <w:spacing w:val="-2"/>
        </w:rPr>
        <w:t xml:space="preserve"> (ASII) in 2020. The mean value is 0.506944 and the standard deviation of 0.062578. This shows that the mean value is greater than the standard deviation, which means that the Islamic Corporate Social Responsibility in this study does not vary or the data is grouped.</w:t>
      </w:r>
    </w:p>
    <w:p w14:paraId="6F1D0390" w14:textId="77777777" w:rsidR="002B719E" w:rsidRDefault="00373A35" w:rsidP="00386624">
      <w:pPr>
        <w:pStyle w:val="Ventura-Content"/>
        <w:rPr>
          <w:spacing w:val="-2"/>
        </w:rPr>
      </w:pPr>
      <w:r w:rsidRPr="00386624">
        <w:rPr>
          <w:spacing w:val="-2"/>
        </w:rPr>
        <w:t xml:space="preserve">The minimum value of Public Shareholding is 0.150082 owned by PT Unilever Indonesia </w:t>
      </w:r>
      <w:proofErr w:type="spellStart"/>
      <w:r w:rsidRPr="00386624">
        <w:rPr>
          <w:spacing w:val="-2"/>
        </w:rPr>
        <w:t>Tbk</w:t>
      </w:r>
      <w:proofErr w:type="spellEnd"/>
      <w:r w:rsidRPr="00386624">
        <w:rPr>
          <w:spacing w:val="-2"/>
        </w:rPr>
        <w:t xml:space="preserve"> (UNVR) in 2015. The maximum value is 0.825217 owned by </w:t>
      </w:r>
      <w:proofErr w:type="spellStart"/>
      <w:r w:rsidRPr="00386624">
        <w:rPr>
          <w:spacing w:val="-2"/>
        </w:rPr>
        <w:t>Matahari</w:t>
      </w:r>
      <w:proofErr w:type="spellEnd"/>
      <w:r w:rsidRPr="00386624">
        <w:rPr>
          <w:spacing w:val="-2"/>
        </w:rPr>
        <w:t xml:space="preserve"> Department Store </w:t>
      </w:r>
      <w:proofErr w:type="spellStart"/>
      <w:r w:rsidRPr="00386624">
        <w:rPr>
          <w:spacing w:val="-2"/>
        </w:rPr>
        <w:t>Tbk</w:t>
      </w:r>
      <w:proofErr w:type="spellEnd"/>
      <w:r w:rsidRPr="00386624">
        <w:rPr>
          <w:spacing w:val="-2"/>
        </w:rPr>
        <w:t xml:space="preserve"> (LPPF) in 2018. The mean value is 0.417119 and the standard deviation is 0.154305. This shows that the mean value is greater than the standard deviation, which means that the Public Share Ownership in this study does not vary or the data is grouped.</w:t>
      </w:r>
    </w:p>
    <w:p w14:paraId="471E8D65" w14:textId="77777777" w:rsidR="007275D7" w:rsidRPr="007275D7" w:rsidRDefault="00373A35" w:rsidP="007275D7">
      <w:pPr>
        <w:pStyle w:val="Ventura-Content"/>
        <w:rPr>
          <w:spacing w:val="-2"/>
        </w:rPr>
      </w:pPr>
      <w:r w:rsidRPr="007275D7">
        <w:rPr>
          <w:spacing w:val="-2"/>
        </w:rPr>
        <w:t xml:space="preserve">The minimum value of Company Size is 15.173740 which is owned by </w:t>
      </w:r>
      <w:proofErr w:type="spellStart"/>
      <w:r w:rsidRPr="007275D7">
        <w:rPr>
          <w:spacing w:val="-2"/>
        </w:rPr>
        <w:t>Matahari</w:t>
      </w:r>
      <w:proofErr w:type="spellEnd"/>
      <w:r w:rsidRPr="007275D7">
        <w:rPr>
          <w:spacing w:val="-2"/>
        </w:rPr>
        <w:t xml:space="preserve"> Department Store </w:t>
      </w:r>
      <w:proofErr w:type="spellStart"/>
      <w:r w:rsidRPr="007275D7">
        <w:rPr>
          <w:spacing w:val="-2"/>
        </w:rPr>
        <w:t>Tbk</w:t>
      </w:r>
      <w:proofErr w:type="spellEnd"/>
      <w:r w:rsidRPr="007275D7">
        <w:rPr>
          <w:spacing w:val="-2"/>
        </w:rPr>
        <w:t xml:space="preserve"> (LPPF) in 2015. The maximum value is 31.739650 which is owned by PT. </w:t>
      </w:r>
      <w:proofErr w:type="spellStart"/>
      <w:r w:rsidRPr="007275D7">
        <w:rPr>
          <w:spacing w:val="-2"/>
        </w:rPr>
        <w:t>Bumi</w:t>
      </w:r>
      <w:proofErr w:type="spellEnd"/>
      <w:r w:rsidRPr="007275D7">
        <w:rPr>
          <w:spacing w:val="-2"/>
        </w:rPr>
        <w:t xml:space="preserve"> </w:t>
      </w:r>
      <w:proofErr w:type="spellStart"/>
      <w:r w:rsidRPr="007275D7">
        <w:rPr>
          <w:spacing w:val="-2"/>
        </w:rPr>
        <w:t>Serpong</w:t>
      </w:r>
      <w:proofErr w:type="spellEnd"/>
      <w:r w:rsidRPr="007275D7">
        <w:rPr>
          <w:spacing w:val="-2"/>
        </w:rPr>
        <w:t xml:space="preserve"> </w:t>
      </w:r>
      <w:proofErr w:type="spellStart"/>
      <w:r w:rsidRPr="007275D7">
        <w:rPr>
          <w:spacing w:val="-2"/>
        </w:rPr>
        <w:t>Damai</w:t>
      </w:r>
      <w:proofErr w:type="spellEnd"/>
      <w:r w:rsidRPr="007275D7">
        <w:rPr>
          <w:spacing w:val="-2"/>
        </w:rPr>
        <w:t xml:space="preserve"> </w:t>
      </w:r>
      <w:proofErr w:type="spellStart"/>
      <w:r w:rsidRPr="007275D7">
        <w:rPr>
          <w:spacing w:val="-2"/>
        </w:rPr>
        <w:t>Tbk</w:t>
      </w:r>
      <w:proofErr w:type="spellEnd"/>
      <w:r w:rsidRPr="007275D7">
        <w:rPr>
          <w:spacing w:val="-2"/>
        </w:rPr>
        <w:t xml:space="preserve"> (BDE) in 2020. The mean value is 23.461230 and the standard deviation is 0.761456. This shows that the mean value is greater than the standard deviation, which means that the size of the company in this study does not vary or the data is grouped.</w:t>
      </w:r>
    </w:p>
    <w:p w14:paraId="7A232CB0" w14:textId="77777777" w:rsidR="00F01EB2" w:rsidRDefault="00373A35" w:rsidP="007275D7">
      <w:pPr>
        <w:pStyle w:val="Ventura-Content"/>
        <w:rPr>
          <w:spacing w:val="-2"/>
        </w:rPr>
      </w:pPr>
      <w:r w:rsidRPr="007275D7">
        <w:rPr>
          <w:spacing w:val="-2"/>
        </w:rPr>
        <w:t xml:space="preserve">The minimum leverage value is 0.157146 which is owned by PT Kalbe </w:t>
      </w:r>
      <w:proofErr w:type="spellStart"/>
      <w:r w:rsidRPr="007275D7">
        <w:rPr>
          <w:spacing w:val="-2"/>
        </w:rPr>
        <w:t>Farma</w:t>
      </w:r>
      <w:proofErr w:type="spellEnd"/>
      <w:r w:rsidRPr="007275D7">
        <w:rPr>
          <w:spacing w:val="-2"/>
        </w:rPr>
        <w:t xml:space="preserve"> </w:t>
      </w:r>
      <w:proofErr w:type="spellStart"/>
      <w:r w:rsidRPr="007275D7">
        <w:rPr>
          <w:spacing w:val="-2"/>
        </w:rPr>
        <w:t>Tbk</w:t>
      </w:r>
      <w:proofErr w:type="spellEnd"/>
      <w:r w:rsidRPr="007275D7">
        <w:rPr>
          <w:spacing w:val="-2"/>
        </w:rPr>
        <w:t xml:space="preserve"> (KLBF) in 2018. The maximum value is 0.908037 which is owned by </w:t>
      </w:r>
      <w:proofErr w:type="spellStart"/>
      <w:r w:rsidRPr="007275D7">
        <w:rPr>
          <w:spacing w:val="-2"/>
        </w:rPr>
        <w:t>Matahari</w:t>
      </w:r>
      <w:proofErr w:type="spellEnd"/>
      <w:r w:rsidRPr="007275D7">
        <w:rPr>
          <w:spacing w:val="-2"/>
        </w:rPr>
        <w:t xml:space="preserve"> Department Store </w:t>
      </w:r>
      <w:proofErr w:type="spellStart"/>
      <w:r w:rsidRPr="007275D7">
        <w:rPr>
          <w:spacing w:val="-2"/>
        </w:rPr>
        <w:t>Tbk</w:t>
      </w:r>
      <w:proofErr w:type="spellEnd"/>
      <w:r w:rsidRPr="007275D7">
        <w:rPr>
          <w:spacing w:val="-2"/>
        </w:rPr>
        <w:t xml:space="preserve"> (LPPF) in 2020. The mean value is 0.496344 and the standard deviation is 0.167030. This shows that the mean value is greater than the standard deviation, which means that the leverage in this study does not vary or the data is clustered.</w:t>
      </w:r>
    </w:p>
    <w:p w14:paraId="32764357" w14:textId="77777777" w:rsidR="00066F98" w:rsidRPr="00066F98" w:rsidRDefault="00373A35" w:rsidP="00066F98">
      <w:pPr>
        <w:pStyle w:val="Ventura-Content"/>
        <w:rPr>
          <w:spacing w:val="-2"/>
        </w:rPr>
      </w:pPr>
      <w:r w:rsidRPr="00066F98">
        <w:rPr>
          <w:spacing w:val="-2"/>
        </w:rPr>
        <w:t xml:space="preserve">The minimum Profitability value is -0.282202 owned by </w:t>
      </w:r>
      <w:proofErr w:type="spellStart"/>
      <w:r w:rsidRPr="00066F98">
        <w:rPr>
          <w:spacing w:val="-2"/>
        </w:rPr>
        <w:t>Matahari</w:t>
      </w:r>
      <w:proofErr w:type="spellEnd"/>
      <w:r w:rsidRPr="00066F98">
        <w:rPr>
          <w:spacing w:val="-2"/>
        </w:rPr>
        <w:t xml:space="preserve"> Department Store </w:t>
      </w:r>
      <w:proofErr w:type="spellStart"/>
      <w:r w:rsidRPr="00066F98">
        <w:rPr>
          <w:spacing w:val="-2"/>
        </w:rPr>
        <w:t>Tbk</w:t>
      </w:r>
      <w:proofErr w:type="spellEnd"/>
      <w:r w:rsidRPr="00066F98">
        <w:rPr>
          <w:spacing w:val="-2"/>
        </w:rPr>
        <w:t xml:space="preserve"> (LPPF) in 2020. The maximum value is 0.499328 owned by PT </w:t>
      </w:r>
      <w:proofErr w:type="spellStart"/>
      <w:r w:rsidRPr="00066F98">
        <w:rPr>
          <w:spacing w:val="-2"/>
        </w:rPr>
        <w:t>Bumi</w:t>
      </w:r>
      <w:proofErr w:type="spellEnd"/>
      <w:r w:rsidRPr="00066F98">
        <w:rPr>
          <w:spacing w:val="-2"/>
        </w:rPr>
        <w:t xml:space="preserve"> </w:t>
      </w:r>
      <w:proofErr w:type="spellStart"/>
      <w:r w:rsidRPr="00066F98">
        <w:rPr>
          <w:spacing w:val="-2"/>
        </w:rPr>
        <w:t>Serpong</w:t>
      </w:r>
      <w:proofErr w:type="spellEnd"/>
      <w:r w:rsidRPr="00066F98">
        <w:rPr>
          <w:spacing w:val="-2"/>
        </w:rPr>
        <w:t xml:space="preserve"> </w:t>
      </w:r>
      <w:proofErr w:type="spellStart"/>
      <w:r w:rsidRPr="00066F98">
        <w:rPr>
          <w:spacing w:val="-2"/>
        </w:rPr>
        <w:t>Damai</w:t>
      </w:r>
      <w:proofErr w:type="spellEnd"/>
      <w:r w:rsidRPr="00066F98">
        <w:rPr>
          <w:spacing w:val="-2"/>
        </w:rPr>
        <w:t xml:space="preserve"> </w:t>
      </w:r>
      <w:proofErr w:type="spellStart"/>
      <w:r w:rsidRPr="00066F98">
        <w:rPr>
          <w:spacing w:val="-2"/>
        </w:rPr>
        <w:t>Tbk</w:t>
      </w:r>
      <w:proofErr w:type="spellEnd"/>
      <w:r w:rsidRPr="00066F98">
        <w:rPr>
          <w:spacing w:val="-2"/>
        </w:rPr>
        <w:t xml:space="preserve"> (BSDE) in 2017. The mean value is 0.136291 and the standard deviation is 0.104213. This shows that the mean value is greater than the standard deviation, which means that the profitability in this study does not vary or the data is grouped.</w:t>
      </w:r>
    </w:p>
    <w:p w14:paraId="7E022D8E" w14:textId="77777777" w:rsidR="007D7E7B" w:rsidRDefault="00373A35" w:rsidP="00066F98">
      <w:pPr>
        <w:pStyle w:val="Ventura-Content"/>
        <w:rPr>
          <w:spacing w:val="-2"/>
        </w:rPr>
      </w:pPr>
      <w:r w:rsidRPr="00066F98">
        <w:rPr>
          <w:spacing w:val="-2"/>
        </w:rPr>
        <w:t xml:space="preserve">The minimum value of Corporate Governance is 10,000000 owned by PT </w:t>
      </w:r>
      <w:proofErr w:type="spellStart"/>
      <w:r w:rsidRPr="00066F98">
        <w:rPr>
          <w:spacing w:val="-2"/>
        </w:rPr>
        <w:t>Bumi</w:t>
      </w:r>
      <w:proofErr w:type="spellEnd"/>
      <w:r w:rsidRPr="00066F98">
        <w:rPr>
          <w:spacing w:val="-2"/>
        </w:rPr>
        <w:t xml:space="preserve"> </w:t>
      </w:r>
      <w:proofErr w:type="spellStart"/>
      <w:r w:rsidRPr="00066F98">
        <w:rPr>
          <w:spacing w:val="-2"/>
        </w:rPr>
        <w:t>Serpong</w:t>
      </w:r>
      <w:proofErr w:type="spellEnd"/>
      <w:r w:rsidRPr="00066F98">
        <w:rPr>
          <w:spacing w:val="-2"/>
        </w:rPr>
        <w:t xml:space="preserve"> </w:t>
      </w:r>
      <w:proofErr w:type="spellStart"/>
      <w:r w:rsidRPr="00066F98">
        <w:rPr>
          <w:spacing w:val="-2"/>
        </w:rPr>
        <w:t>Damai</w:t>
      </w:r>
      <w:proofErr w:type="spellEnd"/>
      <w:r w:rsidRPr="00066F98">
        <w:rPr>
          <w:spacing w:val="-2"/>
        </w:rPr>
        <w:t xml:space="preserve"> </w:t>
      </w:r>
      <w:proofErr w:type="spellStart"/>
      <w:r w:rsidRPr="00066F98">
        <w:rPr>
          <w:spacing w:val="-2"/>
        </w:rPr>
        <w:t>Tbk</w:t>
      </w:r>
      <w:proofErr w:type="spellEnd"/>
      <w:r w:rsidRPr="00066F98">
        <w:rPr>
          <w:spacing w:val="-2"/>
        </w:rPr>
        <w:t xml:space="preserve"> (BSDE) in 2015. The maximum value is 27,000,000 owned by PT Astra International </w:t>
      </w:r>
      <w:proofErr w:type="spellStart"/>
      <w:r w:rsidRPr="00066F98">
        <w:rPr>
          <w:spacing w:val="-2"/>
        </w:rPr>
        <w:t>Tbk</w:t>
      </w:r>
      <w:proofErr w:type="spellEnd"/>
      <w:r w:rsidRPr="00066F98">
        <w:rPr>
          <w:spacing w:val="-2"/>
        </w:rPr>
        <w:t xml:space="preserve"> (ASII) in 2017. The mean value is 17.736110 and the previous standard deviation is </w:t>
      </w:r>
      <w:proofErr w:type="spellStart"/>
      <w:r w:rsidRPr="00066F98">
        <w:rPr>
          <w:spacing w:val="-2"/>
        </w:rPr>
        <w:t>sar</w:t>
      </w:r>
      <w:proofErr w:type="spellEnd"/>
      <w:r w:rsidRPr="00066F98">
        <w:rPr>
          <w:spacing w:val="-2"/>
        </w:rPr>
        <w:t xml:space="preserve"> 3.500475. This shows that the mean value is greater than the standard deviation, which means that Corporate Governance in this study does not vary or the data is grouped.</w:t>
      </w:r>
    </w:p>
    <w:p w14:paraId="349A8F55" w14:textId="77777777" w:rsidR="00F525F8" w:rsidRDefault="00373A35" w:rsidP="00F525F8">
      <w:pPr>
        <w:pStyle w:val="Ventura-Content"/>
        <w:ind w:firstLine="0"/>
        <w:rPr>
          <w:spacing w:val="-2"/>
        </w:rPr>
      </w:pPr>
      <w:r>
        <w:rPr>
          <w:b/>
          <w:bCs/>
        </w:rPr>
        <w:t>RESULT AND DISCUSSION</w:t>
      </w:r>
    </w:p>
    <w:p w14:paraId="28797557" w14:textId="77777777" w:rsidR="00F525F8" w:rsidRPr="008F7E07" w:rsidRDefault="00373A35" w:rsidP="00F525F8">
      <w:pPr>
        <w:pStyle w:val="Keterangan"/>
        <w:spacing w:before="0" w:after="0"/>
        <w:jc w:val="center"/>
        <w:rPr>
          <w:rFonts w:ascii="Book Antiqua" w:hAnsi="Book Antiqua"/>
          <w:sz w:val="18"/>
          <w:szCs w:val="18"/>
        </w:rPr>
      </w:pPr>
      <w:r w:rsidRPr="00F8335B">
        <w:rPr>
          <w:rFonts w:ascii="Book Antiqua" w:hAnsi="Book Antiqua"/>
          <w:sz w:val="18"/>
          <w:szCs w:val="18"/>
        </w:rPr>
        <w:t xml:space="preserve">Table </w:t>
      </w:r>
      <w:r w:rsidRPr="00F8335B">
        <w:rPr>
          <w:rFonts w:ascii="Book Antiqua" w:hAnsi="Book Antiqua"/>
          <w:sz w:val="18"/>
          <w:szCs w:val="18"/>
        </w:rPr>
        <w:fldChar w:fldCharType="begin"/>
      </w:r>
      <w:r w:rsidRPr="00F8335B">
        <w:rPr>
          <w:rFonts w:ascii="Book Antiqua" w:hAnsi="Book Antiqua"/>
          <w:sz w:val="18"/>
          <w:szCs w:val="18"/>
        </w:rPr>
        <w:instrText xml:space="preserve"> SEQ Table \* ARABIC </w:instrText>
      </w:r>
      <w:r w:rsidRPr="00F8335B">
        <w:rPr>
          <w:rFonts w:ascii="Book Antiqua" w:hAnsi="Book Antiqua"/>
          <w:sz w:val="18"/>
          <w:szCs w:val="18"/>
        </w:rPr>
        <w:fldChar w:fldCharType="separate"/>
      </w:r>
      <w:r w:rsidRPr="00F8335B">
        <w:rPr>
          <w:rFonts w:ascii="Book Antiqua" w:hAnsi="Book Antiqua"/>
          <w:noProof/>
          <w:sz w:val="18"/>
          <w:szCs w:val="18"/>
        </w:rPr>
        <w:t>3</w:t>
      </w:r>
      <w:r w:rsidRPr="00F8335B">
        <w:rPr>
          <w:rFonts w:ascii="Book Antiqua" w:hAnsi="Book Antiqua"/>
          <w:sz w:val="18"/>
          <w:szCs w:val="18"/>
        </w:rPr>
        <w:fldChar w:fldCharType="end"/>
      </w:r>
      <w:r w:rsidRPr="00F8335B">
        <w:rPr>
          <w:rFonts w:ascii="Book Antiqua" w:hAnsi="Book Antiqua"/>
          <w:sz w:val="18"/>
          <w:szCs w:val="18"/>
        </w:rPr>
        <w:t xml:space="preserve"> Research Result</w:t>
      </w:r>
    </w:p>
    <w:p w14:paraId="56974CB1" w14:textId="77777777" w:rsidR="00F525F8" w:rsidRDefault="00373A35" w:rsidP="00CA3C59">
      <w:pPr>
        <w:pStyle w:val="Ventura-Content"/>
        <w:ind w:firstLine="0"/>
        <w:jc w:val="center"/>
        <w:rPr>
          <w:spacing w:val="-2"/>
        </w:rPr>
      </w:pPr>
      <w:r>
        <w:rPr>
          <w:b/>
          <w:bCs/>
          <w:i/>
          <w:iCs/>
          <w:noProof/>
          <w:szCs w:val="16"/>
        </w:rPr>
        <w:drawing>
          <wp:inline distT="0" distB="0" distL="0" distR="0" wp14:anchorId="1B7714B3" wp14:editId="4261D3A5">
            <wp:extent cx="2877820" cy="2558415"/>
            <wp:effectExtent l="0" t="0" r="0" b="0"/>
            <wp:docPr id="6" name="Gambar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pic:cNvPicPr>
                      <a:picLocks noChangeAspect="1" noChangeArrowheads="1"/>
                    </pic:cNvPicPr>
                  </pic:nvPicPr>
                  <pic:blipFill>
                    <a:blip r:embed="rId20">
                      <a:extLst>
                        <a:ext uri="{28A0092B-C50C-407E-A947-70E740481C1C}">
                          <a14:useLocalDpi xmlns:a14="http://schemas.microsoft.com/office/drawing/2010/main" val="0"/>
                        </a:ext>
                      </a:extLst>
                    </a:blip>
                    <a:srcRect t="28139"/>
                    <a:stretch>
                      <a:fillRect/>
                    </a:stretch>
                  </pic:blipFill>
                  <pic:spPr bwMode="auto">
                    <a:xfrm>
                      <a:off x="0" y="0"/>
                      <a:ext cx="2877820" cy="2558415"/>
                    </a:xfrm>
                    <a:prstGeom prst="rect">
                      <a:avLst/>
                    </a:prstGeom>
                    <a:noFill/>
                    <a:ln>
                      <a:noFill/>
                    </a:ln>
                    <a:extLst>
                      <a:ext uri="{53640926-AAD7-44D8-BBD7-CCE9431645EC}">
                        <a14:shadowObscured xmlns:a14="http://schemas.microsoft.com/office/drawing/2010/main"/>
                      </a:ext>
                    </a:extLst>
                  </pic:spPr>
                </pic:pic>
              </a:graphicData>
            </a:graphic>
          </wp:inline>
        </w:drawing>
      </w:r>
    </w:p>
    <w:p w14:paraId="05660416" w14:textId="77777777" w:rsidR="00CA7FC1" w:rsidRPr="00CA7FC1" w:rsidRDefault="00373A35" w:rsidP="00A34A37">
      <w:pPr>
        <w:pStyle w:val="Ventura-Content"/>
        <w:ind w:firstLine="0"/>
        <w:rPr>
          <w:i/>
          <w:iCs/>
          <w:spacing w:val="-2"/>
        </w:rPr>
      </w:pPr>
      <w:r w:rsidRPr="00CA7FC1">
        <w:rPr>
          <w:i/>
          <w:iCs/>
          <w:spacing w:val="-2"/>
        </w:rPr>
        <w:t>Source: Data Analysis</w:t>
      </w:r>
    </w:p>
    <w:p w14:paraId="35B7750B" w14:textId="77777777" w:rsidR="00A34A37" w:rsidRPr="00A34A37" w:rsidRDefault="00373A35" w:rsidP="00A34A37">
      <w:pPr>
        <w:pStyle w:val="Ventura-Content"/>
        <w:ind w:firstLine="0"/>
        <w:rPr>
          <w:b/>
          <w:bCs/>
          <w:spacing w:val="-2"/>
        </w:rPr>
      </w:pPr>
      <w:r w:rsidRPr="00A34A37">
        <w:rPr>
          <w:b/>
          <w:bCs/>
          <w:spacing w:val="-2"/>
        </w:rPr>
        <w:t xml:space="preserve">Effect of Public Share Ownership on ICSR disclosure </w:t>
      </w:r>
    </w:p>
    <w:p w14:paraId="5A11F18C" w14:textId="77777777" w:rsidR="00A34A37" w:rsidRPr="00A34A37" w:rsidRDefault="00373A35" w:rsidP="00A34A37">
      <w:pPr>
        <w:pStyle w:val="Ventura-Content"/>
        <w:rPr>
          <w:spacing w:val="-2"/>
        </w:rPr>
      </w:pPr>
      <w:r w:rsidRPr="00A34A37">
        <w:rPr>
          <w:spacing w:val="-2"/>
        </w:rPr>
        <w:t xml:space="preserve">Based on the results of the analysis, the coefficient of Public Share Ownership (Public) is -0.111007, meaning that each increase of one unit of Public Shareholding will decrease the ICSR regression coefficient of 0.111007, assuming other independent variables of Public Shareholding are considered constant. </w:t>
      </w:r>
      <w:r w:rsidR="00AF24CB" w:rsidRPr="00AF24CB">
        <w:rPr>
          <w:spacing w:val="-2"/>
        </w:rPr>
        <w:t>This statement contradicts</w:t>
      </w:r>
      <w:r w:rsidRPr="00A34A37">
        <w:rPr>
          <w:spacing w:val="-2"/>
        </w:rPr>
        <w:t xml:space="preserve"> previous research and stakeholder theory, which states that a large number of company stakeholders or shares outstanding to the public requires companies to disclose ICSR</w:t>
      </w:r>
      <w:r w:rsidR="00AF24CB" w:rsidRPr="00AF24CB">
        <w:rPr>
          <w:spacing w:val="-2"/>
        </w:rPr>
        <w:t xml:space="preserve"> widely</w:t>
      </w:r>
      <w:r w:rsidRPr="00A34A37">
        <w:rPr>
          <w:spacing w:val="-2"/>
        </w:rPr>
        <w:t>.</w:t>
      </w:r>
    </w:p>
    <w:p w14:paraId="7D6C7DCB" w14:textId="77777777" w:rsidR="00A34A37" w:rsidRPr="00A34A37" w:rsidRDefault="00373A35" w:rsidP="00A34A37">
      <w:pPr>
        <w:pStyle w:val="Ventura-Content"/>
        <w:rPr>
          <w:spacing w:val="-2"/>
        </w:rPr>
      </w:pPr>
      <w:r w:rsidRPr="00A34A37">
        <w:rPr>
          <w:spacing w:val="-2"/>
        </w:rPr>
        <w:t>The results of the t-statistical test showed a significant value of fish 0.0102 &lt; 0.05. so it can be concluded that hypothesis H1 is accepted, which means that public share ownership affects the disclosure of ICSR. This can be caused by the more shares outstanding in the community, the greater the company's pressure to disclose ICSR widely.</w:t>
      </w:r>
    </w:p>
    <w:p w14:paraId="4622D134" w14:textId="77777777" w:rsidR="00F525F8" w:rsidRDefault="00373A35" w:rsidP="00A34A37">
      <w:pPr>
        <w:pStyle w:val="Ventura-Content"/>
        <w:rPr>
          <w:spacing w:val="-2"/>
        </w:rPr>
      </w:pPr>
      <w:r w:rsidRPr="00A34A37">
        <w:rPr>
          <w:spacing w:val="-2"/>
        </w:rPr>
        <w:t xml:space="preserve">The results of </w:t>
      </w:r>
      <w:r w:rsidR="00222058" w:rsidRPr="00222058">
        <w:rPr>
          <w:spacing w:val="-2"/>
        </w:rPr>
        <w:t>this</w:t>
      </w:r>
      <w:r w:rsidRPr="00A34A37">
        <w:rPr>
          <w:spacing w:val="-2"/>
        </w:rPr>
        <w:t xml:space="preserve"> study are </w:t>
      </w:r>
      <w:r w:rsidR="00222058" w:rsidRPr="00222058">
        <w:rPr>
          <w:spacing w:val="-2"/>
        </w:rPr>
        <w:t>in line with</w:t>
      </w:r>
      <w:r w:rsidRPr="00A34A37">
        <w:rPr>
          <w:spacing w:val="-2"/>
        </w:rPr>
        <w:t xml:space="preserve"> the stakeholder theory which </w:t>
      </w:r>
      <w:r w:rsidR="00222058" w:rsidRPr="00222058">
        <w:rPr>
          <w:spacing w:val="-2"/>
        </w:rPr>
        <w:t>explains</w:t>
      </w:r>
      <w:r w:rsidRPr="00A34A37">
        <w:rPr>
          <w:spacing w:val="-2"/>
        </w:rPr>
        <w:t xml:space="preserve"> that the company carries out its operational activities based on the aims and objectives of the stakeholders. This requires that the company cannot do anything without the consent of the stakeholders</w:t>
      </w:r>
      <w:r>
        <w:rPr>
          <w:spacing w:val="-2"/>
        </w:rPr>
        <w:t>.</w:t>
      </w:r>
    </w:p>
    <w:p w14:paraId="40C0867E" w14:textId="77777777" w:rsidR="00845F82" w:rsidRPr="00845F82" w:rsidRDefault="00373A35" w:rsidP="00845F82">
      <w:pPr>
        <w:pStyle w:val="Ventura-Content"/>
        <w:ind w:firstLine="0"/>
        <w:rPr>
          <w:b/>
          <w:bCs/>
          <w:spacing w:val="-2"/>
        </w:rPr>
      </w:pPr>
      <w:r w:rsidRPr="00845F82">
        <w:rPr>
          <w:b/>
          <w:bCs/>
          <w:spacing w:val="-2"/>
        </w:rPr>
        <w:t>Effect of Firm Size on ICSR Disclosure</w:t>
      </w:r>
    </w:p>
    <w:p w14:paraId="34F45801" w14:textId="77777777" w:rsidR="00845F82" w:rsidRPr="00845F82" w:rsidRDefault="00373A35" w:rsidP="00845F82">
      <w:pPr>
        <w:pStyle w:val="Ventura-Content"/>
        <w:rPr>
          <w:spacing w:val="-2"/>
        </w:rPr>
      </w:pPr>
      <w:r w:rsidRPr="00845F82">
        <w:rPr>
          <w:spacing w:val="-2"/>
        </w:rPr>
        <w:t xml:space="preserve">Based on the results of the analysis, the coefficient of Firm Size (Size) is 0.00439, meaning that each increase of one unit of Company Size will increase the ICSR regression coefficient by 0.00439, assuming the other independent variables of Size are considered constant. </w:t>
      </w:r>
      <w:r w:rsidR="00D23248" w:rsidRPr="00D23248">
        <w:rPr>
          <w:spacing w:val="-2"/>
        </w:rPr>
        <w:t>This statement agrees</w:t>
      </w:r>
      <w:r w:rsidRPr="00845F82">
        <w:rPr>
          <w:spacing w:val="-2"/>
        </w:rPr>
        <w:t xml:space="preserve"> with previous research and supporting theory which states that the larger the size of the company, the more complex its operational activities are so that the company has the responsibility to make extensive disclosures</w:t>
      </w:r>
      <w:r w:rsidR="00D23248" w:rsidRPr="00D23248">
        <w:rPr>
          <w:spacing w:val="-2"/>
        </w:rPr>
        <w:t>.</w:t>
      </w:r>
    </w:p>
    <w:p w14:paraId="1CE0FC1A" w14:textId="77777777" w:rsidR="00845F82" w:rsidRPr="00845F82" w:rsidRDefault="00373A35" w:rsidP="00845F82">
      <w:pPr>
        <w:pStyle w:val="Ventura-Content"/>
        <w:rPr>
          <w:spacing w:val="-2"/>
        </w:rPr>
      </w:pPr>
      <w:r w:rsidRPr="00845F82">
        <w:rPr>
          <w:spacing w:val="-2"/>
        </w:rPr>
        <w:t>The results of the t-statistical test showed a significant value of fish 0.0005 &lt; 0.05. so it can be concluded that hypothesis H2 is accepted, which means that the size of the company affects the disclosure of ICSR. This is because large companies carry out their operational activities optimally to realize the goals and objectives of the stakeholders.</w:t>
      </w:r>
    </w:p>
    <w:p w14:paraId="7E342DD6" w14:textId="77777777" w:rsidR="00F525F8" w:rsidRDefault="00373A35" w:rsidP="00845F82">
      <w:pPr>
        <w:pStyle w:val="Ventura-Content"/>
        <w:rPr>
          <w:spacing w:val="-2"/>
        </w:rPr>
      </w:pPr>
      <w:r w:rsidRPr="00845F82">
        <w:rPr>
          <w:spacing w:val="-2"/>
        </w:rPr>
        <w:t>Disclosure of ICSR carried out by large-scale companies is a form of company commitment in showing its existence to stakeholders as well as potential investors and also the public that the company has carried out its operational activities well so that it can add to the company's image.</w:t>
      </w:r>
    </w:p>
    <w:p w14:paraId="32CF5404" w14:textId="77777777" w:rsidR="00064639" w:rsidRPr="00064639" w:rsidRDefault="00373A35" w:rsidP="00064639">
      <w:pPr>
        <w:pStyle w:val="Ventura-Content"/>
        <w:ind w:firstLine="0"/>
        <w:rPr>
          <w:b/>
          <w:bCs/>
          <w:spacing w:val="-2"/>
        </w:rPr>
      </w:pPr>
      <w:r w:rsidRPr="00064639">
        <w:rPr>
          <w:b/>
          <w:bCs/>
          <w:spacing w:val="-2"/>
        </w:rPr>
        <w:t>Effect of Leverage on ICSR disclosure</w:t>
      </w:r>
    </w:p>
    <w:p w14:paraId="56D6FF3C" w14:textId="77777777" w:rsidR="00064639" w:rsidRPr="00064639" w:rsidRDefault="00373A35" w:rsidP="00064639">
      <w:pPr>
        <w:pStyle w:val="Ventura-Content"/>
        <w:rPr>
          <w:spacing w:val="-2"/>
        </w:rPr>
      </w:pPr>
      <w:r w:rsidRPr="00064639">
        <w:rPr>
          <w:spacing w:val="-2"/>
        </w:rPr>
        <w:t xml:space="preserve">Based on the results of the analysis, the Leverage coefficient (DAR) is 0.014567, meaning that each increase in one DAR unit will increase the ICSR regression coefficient by 0.014567, assuming other independent variables from DAR are considered constant. This is in line with previous research and supporting theories that already exist, according to </w:t>
      </w:r>
      <w:r w:rsidR="00487B0F">
        <w:fldChar w:fldCharType="begin" w:fldLock="1"/>
      </w:r>
      <w:r w:rsidR="00487B0F">
        <w:instrText>ADDIN CSL_CITATION {"citationItems":[{"id":"ITEM-1","itemData":{"abstract":"Kerusakan lingkungan seperti pencemaran tanah, penggundulan hutan, dan pencemaran sungai salah satunya disebabkan oleh aktivitas perusahaan yang mementingkan proses operasi perusahaan tanpa melihat dampak yang akan terjadi terhadap lingkungan sekitar. Selain merusak lingkungan, masyarakat sekitarpun ikut terkena dampak yang diakibatkan oleh kelalaian suatu perusahaan. Hal ini menunjukkan bahwa tanggung jawab sosial perusahaan sangatlah penting bagi para pemangku kepentingan demi keberlangsungan hidup suatu perusahaan jika tidak ingin mendapat kecaman dari para pemangku kepentingan. Penelitian ini bertujuan untuk mengetahui pengaruh ukuran perusahaan, likuiditas, leverage,dan profitabilitas terhadap pengungkapan corporate socialresponsibility pada perusahaan sektor tekstil dan garmen yang terdaftar di BEI 2013- 2016. Metode pengambilan sampel menggunakan purposive sampling. Sampel yang diperoleh sebanyak 16 perusahaan, yang memenuhi kriteria sampel penelitian yang telah ditetapkan. Teknik analisis data dilakukan dengan statistik deskriptif dan uji asumsi klasik. Pengujian hipotesis menggunakan analisis regresi linier berganda dengan bantuan SPSS 24.0 for windows. Hasil penelitian ini menunjukkan: secara simultan ukuran perusahaan, likuiditas, leverage,dan profitabilitas berpengaruh signifikan terhadap pengungkapan CSR. Di Indonesia secara parsial ukuran perusahaan berpengaruh positif terhadap pengungkapan CSR, likuiditas berpengaruh negatif terhadap pengungkapan CSR, leverage berpengaruh negatif terhadap pengungkapan CSR, dan profitabilitas tidak berpengaruh terhadap pengungkapan CSR. Kata Kunci: Ukuran Perusahaan, Likuiditas, Leverage, Profitabilitas dan Pengungkapan CSR","author":[{"dropping-particle":"","family":"Bimaswara","given":"","non-dropping-particle":"","parse-names":false,"suffix":""},{"dropping-particle":"","family":"Suzan","given":"Leny","non-dropping-particle":"","parse-names":false,"suffix":""},{"dropping-particle":"","family":"Mahardika","given":"Dewa Putra Khrisna","non-dropping-particle":"","parse-names":false,"suffix":""}],"container-title":"e-Proceeding of Management","id":"ITEM-1","issue":"2","issued":{"date-parts":[["2018"]]},"page":"2425","title":"Pengaruh Ukuran Perusahaan, Likuiditas, Risiko Keuangan, dan Profitabilitas terhadap Pengungkapan Tanggung Jawab Sosial (Studi Pada Perusahaan Tekstil dan Garmen yang Terdaftar di BEI Tahun 2013-2016)","type":"article-journal","volume":"5"},"uris":["http://www.mendeley.com/documents/?uuid=8d0401ea-00b8-48cd-946f-bc1977ccdd5e"]}],"mendeley":{"formattedCitation":"(Bimaswara et al., 2018)","manualFormatting":"Bimaswara et al. (2018)","plainTextFormattedCitation":"(Bimaswara et al., 2018)","previouslyFormattedCitation":"(Bimaswara et al., 2018)"},"properties":{"noteIndex":0},"schema":"https://github.com/citation-style-language/schema/raw/master/csl-citation.json"}</w:instrText>
      </w:r>
      <w:r w:rsidR="00487B0F">
        <w:fldChar w:fldCharType="separate"/>
      </w:r>
      <w:r w:rsidR="00487B0F" w:rsidRPr="00227891">
        <w:rPr>
          <w:noProof/>
        </w:rPr>
        <w:t xml:space="preserve">Bimaswara et al. </w:t>
      </w:r>
      <w:r w:rsidR="00487B0F">
        <w:rPr>
          <w:noProof/>
        </w:rPr>
        <w:t>(</w:t>
      </w:r>
      <w:r w:rsidR="00487B0F" w:rsidRPr="00227891">
        <w:rPr>
          <w:noProof/>
        </w:rPr>
        <w:t>2018)</w:t>
      </w:r>
      <w:r w:rsidR="00487B0F">
        <w:fldChar w:fldCharType="end"/>
      </w:r>
      <w:r w:rsidRPr="00064639">
        <w:rPr>
          <w:spacing w:val="-2"/>
        </w:rPr>
        <w:t>, the higher the company's leverage level, the higher the company's responsibility so that the greater the disclosure of ICSR.</w:t>
      </w:r>
    </w:p>
    <w:p w14:paraId="110A7C36" w14:textId="77777777" w:rsidR="00064639" w:rsidRPr="00064639" w:rsidRDefault="00373A35" w:rsidP="00064639">
      <w:pPr>
        <w:pStyle w:val="Ventura-Content"/>
        <w:rPr>
          <w:spacing w:val="-2"/>
        </w:rPr>
      </w:pPr>
      <w:r w:rsidRPr="00064639">
        <w:rPr>
          <w:spacing w:val="-2"/>
        </w:rPr>
        <w:t>The results of the t-statistical test showed a significant value of fish 0.7264 &gt; 0.05. so it can be concluded that hypothesis H3 is rejected, which means that leverage does not affect ICSR disclosure. This shows that the high level of corporate debt does not increase the company's obligation to disclose ICSR widely. Thus, CSR disclosure is not the main criterion for creditors, meaning that creditors can obtain information related to the company other than the company's annual report.</w:t>
      </w:r>
    </w:p>
    <w:p w14:paraId="5A4BEE2B" w14:textId="77777777" w:rsidR="00F525F8" w:rsidRDefault="00373A35" w:rsidP="00064639">
      <w:pPr>
        <w:pStyle w:val="Ventura-Content"/>
        <w:rPr>
          <w:spacing w:val="-2"/>
        </w:rPr>
      </w:pPr>
      <w:r w:rsidRPr="00B44E95">
        <w:rPr>
          <w:spacing w:val="-2"/>
        </w:rPr>
        <w:t xml:space="preserve">Creditors can pocket information through management directly by asking about the financial condition or the company without having to read the financial statements so that creditors do not demand that the company discloses ICSR extensively. The results of this study are in line with </w:t>
      </w:r>
      <w:r w:rsidR="00841400">
        <w:fldChar w:fldCharType="begin" w:fldLock="1"/>
      </w:r>
      <w:r w:rsidR="00841400">
        <w:instrText>ADDIN CSL_CITATION {"citationItems":[{"id":"ITEM-1","itemData":{"DOI":"10.20885/jaai.vol20.iss2.art6","ISSN":"14102420","abstract":"A B S T R A K Perkembangan perusahaan yang sesuai dengan syariah memberikan alternatif pilihan bagi stakeholder muslim untuk berinvestasi sesuai dengan syariah. Namun entitas bisnis syariah seharusnya memiliki identitas etis yang menunjukkan penerapan prinsip syariah dalam kegiatannya. Pengungkapan Corporate Social Responsibility (CSR) yang mengandung nilai- nilai Islam merupakan poin penting bagi perusahaan syariah untuk menunjukkan kinerjanya kepada stakeholder dan juga sejauh mana perusahaan melaksanakan kegiatan yang sesuai dengan syariah. Penelitian ini menguji faktor-faktor yang mempengaruhi pengungkapan CSR pada perusahaan yang terdaftar di Daftar Efek Syariah (DES) yaitu faktor leverage, likuiditas, bank pendukung, dewan komisaris wanita dan latar belakang pendidikan dewan komisaris. Penelitian ini menggunakan Ethical Identity Index yang dikembangkan oleh Haniffa dan Hudaib (2007). Hasil pengujian statistik menemukan bukti empiris bahwa variabel likuiditas dan latar belakang pendidikan dewan komisaris berpengaruh positif terhadap pengungkapan CSR di perusahaan di DES, variabel leverage dan dewan komisaris wanita berpengaruh negatif sementara bank pendukung tidak berpengaruh terhadap pengungkapan CSR. Pendahuluan","author":[{"dropping-particle":"","family":"Nugraheni","given":"Peni","non-dropping-particle":"","parse-names":false,"suffix":""},{"dropping-particle":"","family":"Permatasari","given":"Deasy","non-dropping-particle":"","parse-names":false,"suffix":""}],"container-title":"Jurnal Akuntansi &amp; Auditing Indonesia","id":"ITEM-1","issue":"2","issued":{"date-parts":[["2016"]]},"page":"136-146","title":"Perusahaan syariah dan pengungkapan corporate social responsibility: Analisis pengaruh faktor internal dan karakteristik perusahaan","type":"article-journal","volume":"20"},"uris":["http://www.mendeley.com/documents/?uuid=93a8f884-2954-4f80-8fb6-e7a95e6aee7c"]}],"mendeley":{"formattedCitation":"(Nugraheni &amp; Permatasari, 2016)","manualFormatting":"Nugraheni &amp; Permatasari (2016)","plainTextFormattedCitation":"(Nugraheni &amp; Permatasari, 2016)","previouslyFormattedCitation":"(Nugraheni &amp; Permatasari, 2016)"},"properties":{"noteIndex":0},"schema":"https://github.com/citation-style-language/schema/raw/master/csl-citation.json"}</w:instrText>
      </w:r>
      <w:r w:rsidR="00841400">
        <w:fldChar w:fldCharType="separate"/>
      </w:r>
      <w:r w:rsidR="00841400" w:rsidRPr="005E72AC">
        <w:rPr>
          <w:noProof/>
        </w:rPr>
        <w:t xml:space="preserve">Nugraheni &amp; Permatasari </w:t>
      </w:r>
      <w:r w:rsidR="00841400">
        <w:rPr>
          <w:noProof/>
        </w:rPr>
        <w:t>(</w:t>
      </w:r>
      <w:r w:rsidR="00841400" w:rsidRPr="005E72AC">
        <w:rPr>
          <w:noProof/>
        </w:rPr>
        <w:t>2016)</w:t>
      </w:r>
      <w:r w:rsidR="00841400">
        <w:fldChar w:fldCharType="end"/>
      </w:r>
      <w:r w:rsidR="00841400">
        <w:t xml:space="preserve"> and </w:t>
      </w:r>
      <w:r w:rsidR="00841400">
        <w:fldChar w:fldCharType="begin" w:fldLock="1"/>
      </w:r>
      <w:r w:rsidR="00841400">
        <w:instrText>ADDIN CSL_CITATION {"citationItems":[{"id":"ITEM-1","itemData":{"DOI":"10.14414/tiar.v8i2.1628","author":[{"dropping-particle":"","family":"Riyani","given":"Dinna","non-dropping-particle":"","parse-names":false,"suffix":""},{"dropping-particle":"","family":"Dewi","given":"Nurul Hasanah Uswati","non-dropping-particle":"","parse-names":false,"suffix":""}],"id":"ITEM-1","issue":"2","issued":{"date-parts":[["2018"]]},"page":"121-130","title":"The effect of corporate governance , leverage , and liquidity on Islamic Social Reporting ( ISR ) disclosure in Islamic commercial banks in Indonesia","type":"article-journal","volume":"8"},"uris":["http://www.mendeley.com/documents/?uuid=fce224f3-a8d4-45d8-88cc-2d46e1ba0aee"]}],"mendeley":{"formattedCitation":"(Riyani &amp; Dewi, 2018)","manualFormatting":"Riyani &amp; Dewi (2018)","plainTextFormattedCitation":"(Riyani &amp; Dewi, 2018)","previouslyFormattedCitation":"(Riyani &amp; Dewi, 2018)"},"properties":{"noteIndex":0},"schema":"https://github.com/citation-style-language/schema/raw/master/csl-citation.json"}</w:instrText>
      </w:r>
      <w:r w:rsidR="00841400">
        <w:fldChar w:fldCharType="separate"/>
      </w:r>
      <w:r w:rsidR="00841400" w:rsidRPr="00896DC5">
        <w:rPr>
          <w:noProof/>
        </w:rPr>
        <w:t xml:space="preserve">Riyani &amp; Dewi </w:t>
      </w:r>
      <w:r w:rsidR="00841400">
        <w:rPr>
          <w:noProof/>
        </w:rPr>
        <w:t>(</w:t>
      </w:r>
      <w:r w:rsidR="00841400" w:rsidRPr="00896DC5">
        <w:rPr>
          <w:noProof/>
        </w:rPr>
        <w:t>2018)</w:t>
      </w:r>
      <w:r w:rsidR="00841400">
        <w:fldChar w:fldCharType="end"/>
      </w:r>
      <w:r w:rsidRPr="00B44E95">
        <w:rPr>
          <w:spacing w:val="-2"/>
        </w:rPr>
        <w:t xml:space="preserve"> which state that leverage does not affect ICSR disclosure</w:t>
      </w:r>
      <w:r w:rsidR="00D65EC8" w:rsidRPr="00064639">
        <w:rPr>
          <w:spacing w:val="-2"/>
        </w:rPr>
        <w:t>.</w:t>
      </w:r>
    </w:p>
    <w:p w14:paraId="2DFCDD8F" w14:textId="77777777" w:rsidR="00422BE6" w:rsidRPr="00422BE6" w:rsidRDefault="00373A35" w:rsidP="00422BE6">
      <w:pPr>
        <w:pStyle w:val="Ventura-Content"/>
        <w:ind w:firstLine="0"/>
        <w:rPr>
          <w:b/>
          <w:bCs/>
          <w:spacing w:val="-2"/>
        </w:rPr>
      </w:pPr>
      <w:r w:rsidRPr="00422BE6">
        <w:rPr>
          <w:b/>
          <w:bCs/>
          <w:spacing w:val="-2"/>
        </w:rPr>
        <w:t>Effect of Profitability on ICSR disclosure</w:t>
      </w:r>
    </w:p>
    <w:p w14:paraId="58CC8D0A" w14:textId="77777777" w:rsidR="00422BE6" w:rsidRPr="00422BE6" w:rsidRDefault="00373A35" w:rsidP="00422BE6">
      <w:pPr>
        <w:pStyle w:val="Ventura-Content"/>
        <w:rPr>
          <w:spacing w:val="-2"/>
        </w:rPr>
      </w:pPr>
      <w:r w:rsidRPr="00422BE6">
        <w:rPr>
          <w:spacing w:val="-2"/>
        </w:rPr>
        <w:t>Based on the results of the analysis, the coefficient of Profitability (NPM) is 0.147992, meaning that every increase of one unit of NPM will increase the ICSR regression coefficient of 0.147992, assuming other independent variables of NPM are considered constant.</w:t>
      </w:r>
    </w:p>
    <w:p w14:paraId="3A4BAD86" w14:textId="77777777" w:rsidR="00422BE6" w:rsidRPr="00422BE6" w:rsidRDefault="00373A35" w:rsidP="00422BE6">
      <w:pPr>
        <w:pStyle w:val="Ventura-Content"/>
        <w:rPr>
          <w:spacing w:val="-2"/>
        </w:rPr>
      </w:pPr>
      <w:r w:rsidRPr="00422BE6">
        <w:rPr>
          <w:spacing w:val="-2"/>
        </w:rPr>
        <w:t>The results of the t-statistical test showed a significant value of fish 0.0252 &lt; 0.05. so it can be concluded that hypothesis H4 is accepted, which means that profitability affects ICSR disclosure. This is because companies that have high profits will allocate more funds for social activities, thereby expanding the disclosure of ICSR.</w:t>
      </w:r>
    </w:p>
    <w:p w14:paraId="044CAEF2" w14:textId="77777777" w:rsidR="00F525F8" w:rsidRDefault="00373A35" w:rsidP="00422BE6">
      <w:pPr>
        <w:pStyle w:val="Ventura-Content"/>
        <w:rPr>
          <w:spacing w:val="-2"/>
        </w:rPr>
      </w:pPr>
      <w:r w:rsidRPr="00422BE6">
        <w:rPr>
          <w:spacing w:val="-2"/>
        </w:rPr>
        <w:t xml:space="preserve">The allocation of </w:t>
      </w:r>
      <w:r w:rsidR="001C4989" w:rsidRPr="001C4989">
        <w:rPr>
          <w:spacing w:val="-2"/>
        </w:rPr>
        <w:t>corporate</w:t>
      </w:r>
      <w:r w:rsidRPr="00422BE6">
        <w:rPr>
          <w:spacing w:val="-2"/>
        </w:rPr>
        <w:t xml:space="preserve"> CSR funds is a </w:t>
      </w:r>
      <w:r w:rsidR="001C4989" w:rsidRPr="001C4989">
        <w:rPr>
          <w:spacing w:val="-2"/>
        </w:rPr>
        <w:t>distinct</w:t>
      </w:r>
      <w:r w:rsidRPr="00422BE6">
        <w:rPr>
          <w:spacing w:val="-2"/>
        </w:rPr>
        <w:t xml:space="preserve"> entity so that companies </w:t>
      </w:r>
      <w:r w:rsidR="001C4989" w:rsidRPr="001C4989">
        <w:rPr>
          <w:spacing w:val="-2"/>
        </w:rPr>
        <w:t>with large margins</w:t>
      </w:r>
      <w:r w:rsidRPr="00422BE6">
        <w:rPr>
          <w:spacing w:val="-2"/>
        </w:rPr>
        <w:t xml:space="preserve"> tend to allocate more CSR funds. The large allocation of CSR funds causes companies to be able to disclose CSR widely</w:t>
      </w:r>
      <w:r w:rsidR="001C4989">
        <w:rPr>
          <w:spacing w:val="-2"/>
        </w:rPr>
        <w:t>.</w:t>
      </w:r>
    </w:p>
    <w:p w14:paraId="0CE03569" w14:textId="77777777" w:rsidR="00C3003E" w:rsidRPr="00C3003E" w:rsidRDefault="00373A35" w:rsidP="00C3003E">
      <w:pPr>
        <w:pStyle w:val="Ventura-Content"/>
        <w:ind w:firstLine="0"/>
        <w:rPr>
          <w:b/>
          <w:bCs/>
          <w:spacing w:val="-2"/>
        </w:rPr>
      </w:pPr>
      <w:r w:rsidRPr="00C3003E">
        <w:rPr>
          <w:b/>
          <w:bCs/>
          <w:spacing w:val="-2"/>
        </w:rPr>
        <w:t>Effect of Corporate Governance on ICSR disclosure</w:t>
      </w:r>
    </w:p>
    <w:p w14:paraId="106DB92A" w14:textId="77777777" w:rsidR="00C3003E" w:rsidRPr="00C3003E" w:rsidRDefault="00373A35" w:rsidP="00C3003E">
      <w:pPr>
        <w:pStyle w:val="Ventura-Content"/>
        <w:rPr>
          <w:spacing w:val="-2"/>
        </w:rPr>
      </w:pPr>
      <w:r w:rsidRPr="00C3003E">
        <w:rPr>
          <w:spacing w:val="-2"/>
        </w:rPr>
        <w:t>Based on the results of the analysis, the coefficient of Corporate Governance (CG) is 0.003195, meaning that every increase of one unit of Corporate Governance (CG) will increase the ICSR regression coefficient by 0.003195 with the assumption that other independent variables of CG are considered constant.</w:t>
      </w:r>
    </w:p>
    <w:p w14:paraId="5C6546B0" w14:textId="77777777" w:rsidR="00C3003E" w:rsidRPr="00C3003E" w:rsidRDefault="00373A35" w:rsidP="00C3003E">
      <w:pPr>
        <w:pStyle w:val="Ventura-Content"/>
        <w:rPr>
          <w:spacing w:val="-2"/>
        </w:rPr>
      </w:pPr>
      <w:r w:rsidRPr="00C3003E">
        <w:rPr>
          <w:spacing w:val="-2"/>
        </w:rPr>
        <w:t>The results of the t-statistical test showed a significant value of fish 0.0977 &gt; 0.05. so it can be concluded that the H5 hypothesis is rejected, which means that Corporate Governance (CG) does not affect ICSR disclosure. This shows that</w:t>
      </w:r>
    </w:p>
    <w:p w14:paraId="3455C440" w14:textId="77777777" w:rsidR="00F525F8" w:rsidRDefault="00373A35" w:rsidP="00C3003E">
      <w:pPr>
        <w:pStyle w:val="Ventura-Content"/>
        <w:rPr>
          <w:spacing w:val="-2"/>
        </w:rPr>
      </w:pPr>
      <w:r w:rsidRPr="00C3003E">
        <w:rPr>
          <w:spacing w:val="-2"/>
        </w:rPr>
        <w:t>Components in Corporate Governance have their respective responsibilities in carrying out their duties so that differences in interests between management structures cause companies not to disclose ICSR widely.</w:t>
      </w:r>
    </w:p>
    <w:p w14:paraId="59569DD2" w14:textId="77777777" w:rsidR="007D7E7B" w:rsidRDefault="007D7E7B" w:rsidP="003A40F4">
      <w:pPr>
        <w:pStyle w:val="Ventura-Content"/>
        <w:rPr>
          <w:spacing w:val="-2"/>
        </w:rPr>
      </w:pPr>
    </w:p>
    <w:p w14:paraId="6AF16192" w14:textId="77777777" w:rsidR="00682AB0" w:rsidRDefault="00373A35" w:rsidP="00461F1A">
      <w:pPr>
        <w:pStyle w:val="Ventura-Heading1"/>
        <w:ind w:left="360" w:hanging="360"/>
      </w:pPr>
      <w:r w:rsidRPr="002B4317">
        <w:t>5. CONCLUSION, IMPLICATION, SUGGESTION, AND LIMITATIONS</w:t>
      </w:r>
    </w:p>
    <w:p w14:paraId="4939078A" w14:textId="77777777" w:rsidR="00CA7FC1" w:rsidRDefault="00373A35" w:rsidP="00CA7FC1">
      <w:pPr>
        <w:pStyle w:val="Ventura-Content"/>
      </w:pPr>
      <w:r w:rsidRPr="003057D2">
        <w:t>Based on the results of the study indicate</w:t>
      </w:r>
      <w:r w:rsidR="00D65EC8">
        <w:t xml:space="preserve"> that the first hypothesis (H1), hypothesis (H2), and fourth hypothesis (H4) are accepted</w:t>
      </w:r>
      <w:r w:rsidRPr="003057D2">
        <w:t>, it can be said</w:t>
      </w:r>
      <w:r w:rsidR="00D65EC8">
        <w:t xml:space="preserve"> that public share ownership, company size, and profitability </w:t>
      </w:r>
      <w:r w:rsidRPr="003057D2">
        <w:t>affect</w:t>
      </w:r>
      <w:r w:rsidR="00D65EC8">
        <w:t xml:space="preserve"> Islamic Corporate Social Responsibility (ICSR) with a significant level of less</w:t>
      </w:r>
      <w:r w:rsidRPr="003057D2">
        <w:t>. of</w:t>
      </w:r>
      <w:r w:rsidR="00D65EC8">
        <w:t xml:space="preserve"> 0.05 while the third hypothesis (H3) and hypothesis (H5) are rejected, </w:t>
      </w:r>
      <w:r w:rsidRPr="003057D2">
        <w:t>it can be said</w:t>
      </w:r>
      <w:r w:rsidR="00D65EC8">
        <w:t xml:space="preserve"> that </w:t>
      </w:r>
      <w:r w:rsidRPr="003057D2">
        <w:t>leverage and corporate governance do not affect</w:t>
      </w:r>
      <w:r w:rsidR="00D65EC8">
        <w:t xml:space="preserve"> the disclosure of Islamic Corporate Social Responsibility (ICSR).</w:t>
      </w:r>
    </w:p>
    <w:p w14:paraId="2BE30962" w14:textId="77777777" w:rsidR="00CA7FC1" w:rsidRDefault="00373A35" w:rsidP="00CA7FC1">
      <w:pPr>
        <w:pStyle w:val="Ventura-Content"/>
      </w:pPr>
      <w:r>
        <w:t xml:space="preserve">Weaknesses in this study include: (1) </w:t>
      </w:r>
      <w:r w:rsidR="006B7857" w:rsidRPr="006B7857">
        <w:t xml:space="preserve">the </w:t>
      </w:r>
      <w:r>
        <w:t xml:space="preserve">adjusted R2 test which shows a </w:t>
      </w:r>
      <w:r w:rsidR="006B7857" w:rsidRPr="006B7857">
        <w:t xml:space="preserve">value that is still </w:t>
      </w:r>
      <w:r>
        <w:t xml:space="preserve">relatively low </w:t>
      </w:r>
      <w:r w:rsidR="006B7857" w:rsidRPr="006B7857">
        <w:t>at</w:t>
      </w:r>
      <w:r>
        <w:t xml:space="preserve"> 25</w:t>
      </w:r>
      <w:r w:rsidR="006B7857" w:rsidRPr="006B7857">
        <w:t>% so</w:t>
      </w:r>
      <w:r>
        <w:t xml:space="preserve"> that there are still 75% of other variables that can affect </w:t>
      </w:r>
      <w:r w:rsidR="006B7857" w:rsidRPr="006B7857">
        <w:t>the</w:t>
      </w:r>
      <w:r>
        <w:t xml:space="preserve"> disclosure</w:t>
      </w:r>
      <w:r w:rsidR="006B7857" w:rsidRPr="006B7857">
        <w:t xml:space="preserve"> of ICSR</w:t>
      </w:r>
      <w:r>
        <w:t xml:space="preserve">; (2) ISR disclosure index </w:t>
      </w:r>
      <w:r w:rsidR="006B7857" w:rsidRPr="006B7857">
        <w:t>that</w:t>
      </w:r>
      <w:r>
        <w:t xml:space="preserve"> still </w:t>
      </w:r>
      <w:r w:rsidR="006B7857" w:rsidRPr="006B7857">
        <w:t>uses</w:t>
      </w:r>
      <w:r>
        <w:t xml:space="preserve"> the old index standard that has not been developed yet by researchers.</w:t>
      </w:r>
    </w:p>
    <w:p w14:paraId="3FEBBCAF" w14:textId="77777777" w:rsidR="0086173F" w:rsidRDefault="00373A35" w:rsidP="00CA7FC1">
      <w:pPr>
        <w:pStyle w:val="Ventura-Content"/>
      </w:pPr>
      <w:r>
        <w:t xml:space="preserve">Based on the </w:t>
      </w:r>
      <w:r w:rsidR="00583130" w:rsidRPr="00583130">
        <w:t xml:space="preserve">test </w:t>
      </w:r>
      <w:r>
        <w:t xml:space="preserve">results and research limitations, suggestions that can be submitted are as follows: (1) in </w:t>
      </w:r>
      <w:r w:rsidR="00583130" w:rsidRPr="00583130">
        <w:t>the next</w:t>
      </w:r>
      <w:r>
        <w:t xml:space="preserve"> research, it is expected to </w:t>
      </w:r>
      <w:r w:rsidR="00583130" w:rsidRPr="00583130">
        <w:t>expand</w:t>
      </w:r>
      <w:r>
        <w:t xml:space="preserve"> new variables that can be expected to strengthen the relationship </w:t>
      </w:r>
      <w:r w:rsidR="00583130" w:rsidRPr="00583130">
        <w:t>of</w:t>
      </w:r>
      <w:r>
        <w:t xml:space="preserve"> independent variables </w:t>
      </w:r>
      <w:r w:rsidR="00583130" w:rsidRPr="00583130">
        <w:t>with</w:t>
      </w:r>
      <w:r>
        <w:t xml:space="preserve"> ICSR disclosures such as accounting conservatism, industry type, and sharia compliance; (2) </w:t>
      </w:r>
      <w:r w:rsidR="00583130" w:rsidRPr="00583130">
        <w:t xml:space="preserve">in </w:t>
      </w:r>
      <w:r>
        <w:t xml:space="preserve">the next research </w:t>
      </w:r>
      <w:r w:rsidR="00583130" w:rsidRPr="00583130">
        <w:t xml:space="preserve">it </w:t>
      </w:r>
      <w:r>
        <w:t xml:space="preserve">is expected to </w:t>
      </w:r>
      <w:r w:rsidR="00583130" w:rsidRPr="00583130">
        <w:t>use</w:t>
      </w:r>
      <w:r>
        <w:t xml:space="preserve"> other </w:t>
      </w:r>
      <w:r w:rsidR="00583130" w:rsidRPr="00583130">
        <w:t>sharia indices</w:t>
      </w:r>
      <w:r>
        <w:t xml:space="preserve"> such as the ISSI index</w:t>
      </w:r>
      <w:r w:rsidR="00583130" w:rsidRPr="00583130">
        <w:t>, JII 70</w:t>
      </w:r>
      <w:r>
        <w:t xml:space="preserve"> or by </w:t>
      </w:r>
      <w:r w:rsidR="00583130" w:rsidRPr="00583130">
        <w:t>developing</w:t>
      </w:r>
      <w:r>
        <w:t xml:space="preserve"> the number of research periods; (3) for sharia-based companies, there are still many sharia-based companies, especially those </w:t>
      </w:r>
      <w:r w:rsidR="00583130" w:rsidRPr="00583130">
        <w:t>listed in</w:t>
      </w:r>
      <w:r>
        <w:t xml:space="preserve"> JII, it is still found that companies have not fully implemented sharia principles as the basis </w:t>
      </w:r>
      <w:r w:rsidR="00583130" w:rsidRPr="00583130">
        <w:t>of</w:t>
      </w:r>
      <w:r>
        <w:t xml:space="preserve"> operational activities, it is hoped that companies will be able to implement sharia principles as a form of embodiment </w:t>
      </w:r>
      <w:r w:rsidR="00583130" w:rsidRPr="00583130">
        <w:t>of companies that are Sharia</w:t>
      </w:r>
      <w:r>
        <w:t>-based.</w:t>
      </w:r>
    </w:p>
    <w:p w14:paraId="51B2555F" w14:textId="77777777" w:rsidR="00682AB0" w:rsidRPr="002B4317" w:rsidRDefault="00682AB0" w:rsidP="00682AB0">
      <w:pPr>
        <w:pStyle w:val="Ventura-Formula"/>
      </w:pPr>
    </w:p>
    <w:p w14:paraId="41820882" w14:textId="77777777" w:rsidR="00682AB0" w:rsidRPr="002B4317" w:rsidRDefault="00373A35" w:rsidP="00682AB0">
      <w:pPr>
        <w:pStyle w:val="Ventura-Heading1"/>
      </w:pPr>
      <w:r w:rsidRPr="002B4317">
        <w:t>REFERENCES</w:t>
      </w:r>
    </w:p>
    <w:p w14:paraId="348D4BC1" w14:textId="77777777" w:rsidR="0061090C" w:rsidRDefault="0061090C" w:rsidP="00CA7FC1">
      <w:pPr>
        <w:pStyle w:val="Ventura-Reference"/>
      </w:pPr>
    </w:p>
    <w:p w14:paraId="2B9FED80" w14:textId="77777777" w:rsidR="00F44482" w:rsidRPr="00F44482" w:rsidRDefault="00373A35" w:rsidP="00F44482">
      <w:pPr>
        <w:autoSpaceDE w:val="0"/>
        <w:autoSpaceDN w:val="0"/>
        <w:adjustRightInd w:val="0"/>
        <w:ind w:left="480" w:hanging="480"/>
        <w:rPr>
          <w:rFonts w:ascii="Book Antiqua" w:hAnsi="Book Antiqua"/>
          <w:noProof/>
        </w:rPr>
      </w:pPr>
      <w:r>
        <w:fldChar w:fldCharType="begin" w:fldLock="1"/>
      </w:r>
      <w:r>
        <w:instrText xml:space="preserve">ADDIN Mendeley Bibliography CSL_BIBLIOGRAPHY </w:instrText>
      </w:r>
      <w:r>
        <w:fldChar w:fldCharType="separate"/>
      </w:r>
      <w:r w:rsidRPr="00F44482">
        <w:rPr>
          <w:rFonts w:ascii="Book Antiqua" w:hAnsi="Book Antiqua"/>
          <w:noProof/>
        </w:rPr>
        <w:t xml:space="preserve">Bimaswara, Suzan, L., &amp; Mahardika, D. P. K. (2018). Pengaruh Ukuran Perusahaan, Likuiditas, Risiko Keuangan, dan Profitabilitas terhadap Pengungkapan Tanggung Jawab Sosial (Studi Pada Perusahaan Tekstil dan Garmen yang Terdaftar di BEI Tahun 2013-2016). </w:t>
      </w:r>
      <w:r w:rsidRPr="00F44482">
        <w:rPr>
          <w:rFonts w:ascii="Book Antiqua" w:hAnsi="Book Antiqua"/>
          <w:i/>
          <w:iCs/>
          <w:noProof/>
        </w:rPr>
        <w:t>E-Proceeding of Management</w:t>
      </w:r>
      <w:r w:rsidRPr="00F44482">
        <w:rPr>
          <w:rFonts w:ascii="Book Antiqua" w:hAnsi="Book Antiqua"/>
          <w:noProof/>
        </w:rPr>
        <w:t xml:space="preserve">, </w:t>
      </w:r>
      <w:r w:rsidRPr="00F44482">
        <w:rPr>
          <w:rFonts w:ascii="Book Antiqua" w:hAnsi="Book Antiqua"/>
          <w:i/>
          <w:iCs/>
          <w:noProof/>
        </w:rPr>
        <w:t>5</w:t>
      </w:r>
      <w:r w:rsidRPr="00F44482">
        <w:rPr>
          <w:rFonts w:ascii="Book Antiqua" w:hAnsi="Book Antiqua"/>
          <w:noProof/>
        </w:rPr>
        <w:t>(2), 2425. file:///C:/Users/Lutfi/Downloads/18.04.1733_jurnal_eproc (1).pdf</w:t>
      </w:r>
    </w:p>
    <w:p w14:paraId="31671ECB" w14:textId="77777777" w:rsidR="00F44482" w:rsidRPr="00F44482" w:rsidRDefault="00373A35" w:rsidP="00F44482">
      <w:pPr>
        <w:autoSpaceDE w:val="0"/>
        <w:autoSpaceDN w:val="0"/>
        <w:adjustRightInd w:val="0"/>
        <w:ind w:left="480" w:hanging="480"/>
        <w:rPr>
          <w:rFonts w:ascii="Book Antiqua" w:hAnsi="Book Antiqua"/>
          <w:noProof/>
        </w:rPr>
      </w:pPr>
      <w:r w:rsidRPr="00F44482">
        <w:rPr>
          <w:rFonts w:ascii="Book Antiqua" w:hAnsi="Book Antiqua"/>
          <w:noProof/>
        </w:rPr>
        <w:t xml:space="preserve">Budi, I. S., Rahmawati, Falikhatun, Muthmainah, &amp; Gunardi, A. (2019). Financial Performance Mediation in the Influence of Islamic Corporate Governance Disclosure on the Islamic Social Reporting. </w:t>
      </w:r>
      <w:r w:rsidRPr="00F44482">
        <w:rPr>
          <w:rFonts w:ascii="Book Antiqua" w:hAnsi="Book Antiqua"/>
          <w:i/>
          <w:iCs/>
          <w:noProof/>
        </w:rPr>
        <w:t>Indonesian Journal of Sustainability Accounting and Management</w:t>
      </w:r>
      <w:r w:rsidRPr="00F44482">
        <w:rPr>
          <w:rFonts w:ascii="Book Antiqua" w:hAnsi="Book Antiqua"/>
          <w:noProof/>
        </w:rPr>
        <w:t xml:space="preserve">, </w:t>
      </w:r>
      <w:r w:rsidRPr="00F44482">
        <w:rPr>
          <w:rFonts w:ascii="Book Antiqua" w:hAnsi="Book Antiqua"/>
          <w:i/>
          <w:iCs/>
          <w:noProof/>
        </w:rPr>
        <w:t>3</w:t>
      </w:r>
      <w:r w:rsidRPr="00F44482">
        <w:rPr>
          <w:rFonts w:ascii="Book Antiqua" w:hAnsi="Book Antiqua"/>
          <w:noProof/>
        </w:rPr>
        <w:t>(1). https://doi.org/10.28992/ijsam.v3i1.77</w:t>
      </w:r>
    </w:p>
    <w:p w14:paraId="5C151CAC" w14:textId="77777777" w:rsidR="00F44482" w:rsidRPr="00F44482" w:rsidRDefault="00373A35" w:rsidP="00F44482">
      <w:pPr>
        <w:autoSpaceDE w:val="0"/>
        <w:autoSpaceDN w:val="0"/>
        <w:adjustRightInd w:val="0"/>
        <w:ind w:left="480" w:hanging="480"/>
        <w:rPr>
          <w:rFonts w:ascii="Book Antiqua" w:hAnsi="Book Antiqua"/>
          <w:noProof/>
        </w:rPr>
      </w:pPr>
      <w:r w:rsidRPr="00F44482">
        <w:rPr>
          <w:rFonts w:ascii="Book Antiqua" w:hAnsi="Book Antiqua"/>
          <w:noProof/>
        </w:rPr>
        <w:t xml:space="preserve">Cahya, B. T., Nuruddin, A., &amp; Ikhsan, A. (2017). Islamic Social Reporting: From the Perspectives of Corporate Governance Strength, Media Exposure and the Characteristics of Sharia Based Companies in Indonesia and its Impact On Firm Value. </w:t>
      </w:r>
      <w:r w:rsidRPr="00F44482">
        <w:rPr>
          <w:rFonts w:ascii="Book Antiqua" w:hAnsi="Book Antiqua"/>
          <w:i/>
          <w:iCs/>
          <w:noProof/>
        </w:rPr>
        <w:t>IOSR Journal of Humanities and Social Science</w:t>
      </w:r>
      <w:r w:rsidRPr="00F44482">
        <w:rPr>
          <w:rFonts w:ascii="Book Antiqua" w:hAnsi="Book Antiqua"/>
          <w:noProof/>
        </w:rPr>
        <w:t xml:space="preserve">, </w:t>
      </w:r>
      <w:r w:rsidRPr="00F44482">
        <w:rPr>
          <w:rFonts w:ascii="Book Antiqua" w:hAnsi="Book Antiqua"/>
          <w:i/>
          <w:iCs/>
          <w:noProof/>
        </w:rPr>
        <w:t>22</w:t>
      </w:r>
      <w:r w:rsidRPr="00F44482">
        <w:rPr>
          <w:rFonts w:ascii="Book Antiqua" w:hAnsi="Book Antiqua"/>
          <w:noProof/>
        </w:rPr>
        <w:t>(5), 71–78. https://doi.org/10.9790/0837-2205107178</w:t>
      </w:r>
    </w:p>
    <w:p w14:paraId="30F9E4E7" w14:textId="77777777" w:rsidR="00F44482" w:rsidRPr="00F44482" w:rsidRDefault="00373A35" w:rsidP="00F44482">
      <w:pPr>
        <w:autoSpaceDE w:val="0"/>
        <w:autoSpaceDN w:val="0"/>
        <w:adjustRightInd w:val="0"/>
        <w:ind w:left="480" w:hanging="480"/>
        <w:rPr>
          <w:rFonts w:ascii="Book Antiqua" w:hAnsi="Book Antiqua"/>
          <w:noProof/>
        </w:rPr>
      </w:pPr>
      <w:r w:rsidRPr="00F44482">
        <w:rPr>
          <w:rFonts w:ascii="Book Antiqua" w:hAnsi="Book Antiqua"/>
          <w:noProof/>
        </w:rPr>
        <w:t xml:space="preserve">Fajrul Novrizal, M., &amp; Fitri, M. (2016). Faktor-Faktor yang Mempengaruhi Pengungkapan Corporate Social Responbility (CSR) pada Perusahaan yang Terdaftar di Jakarta Islamic Index (JII) tahun 2012-2015 dengan Menggunakan Islamic Social Reporting (ISR) Index sebagai Tolok Ukur. </w:t>
      </w:r>
      <w:r w:rsidRPr="00F44482">
        <w:rPr>
          <w:rFonts w:ascii="Book Antiqua" w:hAnsi="Book Antiqua"/>
          <w:i/>
          <w:iCs/>
          <w:noProof/>
        </w:rPr>
        <w:t>Jurnal Ilmiah Mahasiswa Ekonomi Akuntansi (JIMEKA)</w:t>
      </w:r>
      <w:r w:rsidRPr="00F44482">
        <w:rPr>
          <w:rFonts w:ascii="Book Antiqua" w:hAnsi="Book Antiqua"/>
          <w:noProof/>
        </w:rPr>
        <w:t xml:space="preserve">, </w:t>
      </w:r>
      <w:r w:rsidRPr="00F44482">
        <w:rPr>
          <w:rFonts w:ascii="Book Antiqua" w:hAnsi="Book Antiqua"/>
          <w:i/>
          <w:iCs/>
          <w:noProof/>
        </w:rPr>
        <w:t>1</w:t>
      </w:r>
      <w:r w:rsidRPr="00F44482">
        <w:rPr>
          <w:rFonts w:ascii="Book Antiqua" w:hAnsi="Book Antiqua"/>
          <w:noProof/>
        </w:rPr>
        <w:t>(2), 1.</w:t>
      </w:r>
    </w:p>
    <w:p w14:paraId="7DCF3367" w14:textId="77777777" w:rsidR="00F44482" w:rsidRPr="00F44482" w:rsidRDefault="00373A35" w:rsidP="00F44482">
      <w:pPr>
        <w:autoSpaceDE w:val="0"/>
        <w:autoSpaceDN w:val="0"/>
        <w:adjustRightInd w:val="0"/>
        <w:ind w:left="480" w:hanging="480"/>
        <w:rPr>
          <w:rFonts w:ascii="Book Antiqua" w:hAnsi="Book Antiqua"/>
          <w:noProof/>
        </w:rPr>
      </w:pPr>
      <w:r w:rsidRPr="00F44482">
        <w:rPr>
          <w:rFonts w:ascii="Book Antiqua" w:hAnsi="Book Antiqua"/>
          <w:noProof/>
        </w:rPr>
        <w:t xml:space="preserve">Fitranita, V., &amp; Wijayanti, I. O. (2020). Profitabilitas, Ukuran Perusahaan, Kinerja lingkungan, Pertumbuhan Penjualan dan Leverage pada Pengungkapan Islamic Corporate Social Reporting. </w:t>
      </w:r>
      <w:r w:rsidRPr="00F44482">
        <w:rPr>
          <w:rFonts w:ascii="Book Antiqua" w:hAnsi="Book Antiqua"/>
          <w:i/>
          <w:iCs/>
          <w:noProof/>
        </w:rPr>
        <w:t>Journal Accounting and Finance Edisi Vol. 4 No. 1 Maret 2020</w:t>
      </w:r>
      <w:r w:rsidRPr="00F44482">
        <w:rPr>
          <w:rFonts w:ascii="Book Antiqua" w:hAnsi="Book Antiqua"/>
          <w:noProof/>
        </w:rPr>
        <w:t xml:space="preserve">, </w:t>
      </w:r>
      <w:r w:rsidRPr="00F44482">
        <w:rPr>
          <w:rFonts w:ascii="Book Antiqua" w:hAnsi="Book Antiqua"/>
          <w:i/>
          <w:iCs/>
          <w:noProof/>
        </w:rPr>
        <w:t>4</w:t>
      </w:r>
      <w:r w:rsidRPr="00F44482">
        <w:rPr>
          <w:rFonts w:ascii="Book Antiqua" w:hAnsi="Book Antiqua"/>
          <w:noProof/>
        </w:rPr>
        <w:t>(1).</w:t>
      </w:r>
    </w:p>
    <w:p w14:paraId="10F3ED2F" w14:textId="77777777" w:rsidR="00F44482" w:rsidRPr="00F44482" w:rsidRDefault="00373A35" w:rsidP="00F44482">
      <w:pPr>
        <w:autoSpaceDE w:val="0"/>
        <w:autoSpaceDN w:val="0"/>
        <w:adjustRightInd w:val="0"/>
        <w:ind w:left="480" w:hanging="480"/>
        <w:rPr>
          <w:rFonts w:ascii="Book Antiqua" w:hAnsi="Book Antiqua"/>
          <w:noProof/>
        </w:rPr>
      </w:pPr>
      <w:r w:rsidRPr="00F44482">
        <w:rPr>
          <w:rFonts w:ascii="Book Antiqua" w:hAnsi="Book Antiqua"/>
          <w:noProof/>
        </w:rPr>
        <w:t xml:space="preserve">Ghozali, P. D. I. (2020). </w:t>
      </w:r>
      <w:r w:rsidRPr="00F44482">
        <w:rPr>
          <w:rFonts w:ascii="Book Antiqua" w:hAnsi="Book Antiqua"/>
          <w:i/>
          <w:iCs/>
          <w:noProof/>
        </w:rPr>
        <w:t>25 Grand Theory (Teori Besar Ilmu Manajemen, Akuntansi dan Binis)</w:t>
      </w:r>
      <w:r w:rsidRPr="00F44482">
        <w:rPr>
          <w:rFonts w:ascii="Book Antiqua" w:hAnsi="Book Antiqua"/>
          <w:noProof/>
        </w:rPr>
        <w:t xml:space="preserve"> (Apriya (ed.); viii). Yoga Pratama.</w:t>
      </w:r>
    </w:p>
    <w:p w14:paraId="78DED3CD" w14:textId="77777777" w:rsidR="00F44482" w:rsidRPr="00F44482" w:rsidRDefault="00373A35" w:rsidP="00F44482">
      <w:pPr>
        <w:autoSpaceDE w:val="0"/>
        <w:autoSpaceDN w:val="0"/>
        <w:adjustRightInd w:val="0"/>
        <w:ind w:left="480" w:hanging="480"/>
        <w:rPr>
          <w:rFonts w:ascii="Book Antiqua" w:hAnsi="Book Antiqua"/>
          <w:noProof/>
        </w:rPr>
      </w:pPr>
      <w:r w:rsidRPr="00F44482">
        <w:rPr>
          <w:rFonts w:ascii="Book Antiqua" w:hAnsi="Book Antiqua"/>
          <w:noProof/>
        </w:rPr>
        <w:t xml:space="preserve">Hamdani, S. P., Yuliandari, W. S., &amp; Budiono, E. (2017). Kepemilikan Saham Publik Dan Return on Assets Terhadap Pengungkapan Corporate Social Responsibility. </w:t>
      </w:r>
      <w:r w:rsidRPr="00F44482">
        <w:rPr>
          <w:rFonts w:ascii="Book Antiqua" w:hAnsi="Book Antiqua"/>
          <w:i/>
          <w:iCs/>
          <w:noProof/>
        </w:rPr>
        <w:t>Jrak</w:t>
      </w:r>
      <w:r w:rsidRPr="00F44482">
        <w:rPr>
          <w:rFonts w:ascii="Book Antiqua" w:hAnsi="Book Antiqua"/>
          <w:noProof/>
        </w:rPr>
        <w:t xml:space="preserve">, </w:t>
      </w:r>
      <w:r w:rsidRPr="00F44482">
        <w:rPr>
          <w:rFonts w:ascii="Book Antiqua" w:hAnsi="Book Antiqua"/>
          <w:i/>
          <w:iCs/>
          <w:noProof/>
        </w:rPr>
        <w:t>9</w:t>
      </w:r>
      <w:r w:rsidRPr="00F44482">
        <w:rPr>
          <w:rFonts w:ascii="Book Antiqua" w:hAnsi="Book Antiqua"/>
          <w:noProof/>
        </w:rPr>
        <w:t>(1), 47. https://doi.org/10.23969/jrak.v9i1.368</w:t>
      </w:r>
    </w:p>
    <w:p w14:paraId="1770545D" w14:textId="77777777" w:rsidR="00F44482" w:rsidRPr="00F44482" w:rsidRDefault="00373A35" w:rsidP="00F44482">
      <w:pPr>
        <w:autoSpaceDE w:val="0"/>
        <w:autoSpaceDN w:val="0"/>
        <w:adjustRightInd w:val="0"/>
        <w:ind w:left="480" w:hanging="480"/>
        <w:rPr>
          <w:rFonts w:ascii="Book Antiqua" w:hAnsi="Book Antiqua"/>
          <w:noProof/>
        </w:rPr>
      </w:pPr>
      <w:r w:rsidRPr="00F44482">
        <w:rPr>
          <w:rFonts w:ascii="Book Antiqua" w:hAnsi="Book Antiqua"/>
          <w:noProof/>
        </w:rPr>
        <w:t xml:space="preserve">Hery. (2016). </w:t>
      </w:r>
      <w:r w:rsidRPr="00F44482">
        <w:rPr>
          <w:rFonts w:ascii="Book Antiqua" w:hAnsi="Book Antiqua"/>
          <w:i/>
          <w:iCs/>
          <w:noProof/>
        </w:rPr>
        <w:t>Analisis Laporan Keuangan Pendekatan Rasio Keuangan</w:t>
      </w:r>
      <w:r w:rsidRPr="00F44482">
        <w:rPr>
          <w:rFonts w:ascii="Book Antiqua" w:hAnsi="Book Antiqua"/>
          <w:noProof/>
        </w:rPr>
        <w:t>. Center of Academic Publishing Service.</w:t>
      </w:r>
    </w:p>
    <w:p w14:paraId="4B61350C" w14:textId="77777777" w:rsidR="00F44482" w:rsidRPr="00F44482" w:rsidRDefault="00373A35" w:rsidP="00F44482">
      <w:pPr>
        <w:autoSpaceDE w:val="0"/>
        <w:autoSpaceDN w:val="0"/>
        <w:adjustRightInd w:val="0"/>
        <w:ind w:left="480" w:hanging="480"/>
        <w:rPr>
          <w:rFonts w:ascii="Book Antiqua" w:hAnsi="Book Antiqua"/>
          <w:noProof/>
        </w:rPr>
      </w:pPr>
      <w:r w:rsidRPr="00F44482">
        <w:rPr>
          <w:rFonts w:ascii="Book Antiqua" w:hAnsi="Book Antiqua"/>
          <w:noProof/>
        </w:rPr>
        <w:t xml:space="preserve">Indrawati. (2015). </w:t>
      </w:r>
      <w:r w:rsidRPr="00F44482">
        <w:rPr>
          <w:rFonts w:ascii="Book Antiqua" w:hAnsi="Book Antiqua"/>
          <w:i/>
          <w:iCs/>
          <w:noProof/>
        </w:rPr>
        <w:t>Metodologi Penelitian Manajemen dan Bisnis: Konvergensi Teknologi Komunikasi dan Informatika</w:t>
      </w:r>
      <w:r w:rsidRPr="00F44482">
        <w:rPr>
          <w:rFonts w:ascii="Book Antiqua" w:hAnsi="Book Antiqua"/>
          <w:noProof/>
        </w:rPr>
        <w:t>. Refika Aditama.</w:t>
      </w:r>
    </w:p>
    <w:p w14:paraId="6B3CEF37" w14:textId="77777777" w:rsidR="00F44482" w:rsidRPr="00F44482" w:rsidRDefault="00373A35" w:rsidP="00F44482">
      <w:pPr>
        <w:autoSpaceDE w:val="0"/>
        <w:autoSpaceDN w:val="0"/>
        <w:adjustRightInd w:val="0"/>
        <w:ind w:left="480" w:hanging="480"/>
        <w:rPr>
          <w:rFonts w:ascii="Book Antiqua" w:hAnsi="Book Antiqua"/>
          <w:noProof/>
        </w:rPr>
      </w:pPr>
      <w:r w:rsidRPr="00F44482">
        <w:rPr>
          <w:rFonts w:ascii="Book Antiqua" w:hAnsi="Book Antiqua"/>
          <w:noProof/>
        </w:rPr>
        <w:t xml:space="preserve">Jannah, A. M., &amp; Asrori. (2016). Pengaruh GCG, Size, Jenis Produk Dan Kepemilikan Saham Publik Terhadap Pengungkapan ISR. </w:t>
      </w:r>
      <w:r w:rsidRPr="00F44482">
        <w:rPr>
          <w:rFonts w:ascii="Book Antiqua" w:hAnsi="Book Antiqua"/>
          <w:i/>
          <w:iCs/>
          <w:noProof/>
        </w:rPr>
        <w:t>Accounting Analysis Journal</w:t>
      </w:r>
      <w:r w:rsidRPr="00F44482">
        <w:rPr>
          <w:rFonts w:ascii="Book Antiqua" w:hAnsi="Book Antiqua"/>
          <w:noProof/>
        </w:rPr>
        <w:t xml:space="preserve">, </w:t>
      </w:r>
      <w:r w:rsidRPr="00F44482">
        <w:rPr>
          <w:rFonts w:ascii="Book Antiqua" w:hAnsi="Book Antiqua"/>
          <w:i/>
          <w:iCs/>
          <w:noProof/>
        </w:rPr>
        <w:t>5</w:t>
      </w:r>
      <w:r w:rsidRPr="00F44482">
        <w:rPr>
          <w:rFonts w:ascii="Book Antiqua" w:hAnsi="Book Antiqua"/>
          <w:noProof/>
        </w:rPr>
        <w:t>(1), 1–9.</w:t>
      </w:r>
    </w:p>
    <w:p w14:paraId="1BB1F35D" w14:textId="77777777" w:rsidR="00F44482" w:rsidRPr="00F44482" w:rsidRDefault="00373A35" w:rsidP="00F44482">
      <w:pPr>
        <w:autoSpaceDE w:val="0"/>
        <w:autoSpaceDN w:val="0"/>
        <w:adjustRightInd w:val="0"/>
        <w:ind w:left="480" w:hanging="480"/>
        <w:rPr>
          <w:rFonts w:ascii="Book Antiqua" w:hAnsi="Book Antiqua"/>
          <w:noProof/>
        </w:rPr>
      </w:pPr>
      <w:r w:rsidRPr="00F44482">
        <w:rPr>
          <w:rFonts w:ascii="Book Antiqua" w:hAnsi="Book Antiqua"/>
          <w:noProof/>
        </w:rPr>
        <w:t xml:space="preserve">Kurniawati, M., &amp; Yaya, R. (2017). </w:t>
      </w:r>
      <w:r w:rsidRPr="00F44482">
        <w:rPr>
          <w:rFonts w:ascii="Book Antiqua" w:hAnsi="Book Antiqua"/>
          <w:i/>
          <w:iCs/>
          <w:noProof/>
        </w:rPr>
        <w:t>Pengaruh Mekanisme Corporate Governance , Kinerja Keuangan dan Kinerja Lingkungan terhadap Pengungkapan Islamic Social Reporting</w:t>
      </w:r>
      <w:r w:rsidRPr="00F44482">
        <w:rPr>
          <w:rFonts w:ascii="Book Antiqua" w:hAnsi="Book Antiqua"/>
          <w:noProof/>
        </w:rPr>
        <w:t xml:space="preserve">. </w:t>
      </w:r>
      <w:r w:rsidRPr="00F44482">
        <w:rPr>
          <w:rFonts w:ascii="Book Antiqua" w:hAnsi="Book Antiqua"/>
          <w:i/>
          <w:iCs/>
          <w:noProof/>
        </w:rPr>
        <w:t>18</w:t>
      </w:r>
      <w:r w:rsidRPr="00F44482">
        <w:rPr>
          <w:rFonts w:ascii="Book Antiqua" w:hAnsi="Book Antiqua"/>
          <w:noProof/>
        </w:rPr>
        <w:t>(2), 163–171. https://doi.org/10.18196/jai.180280</w:t>
      </w:r>
    </w:p>
    <w:p w14:paraId="14D1FD4C" w14:textId="77777777" w:rsidR="00F44482" w:rsidRPr="00F44482" w:rsidRDefault="00373A35" w:rsidP="00F44482">
      <w:pPr>
        <w:autoSpaceDE w:val="0"/>
        <w:autoSpaceDN w:val="0"/>
        <w:adjustRightInd w:val="0"/>
        <w:ind w:left="480" w:hanging="480"/>
        <w:rPr>
          <w:rFonts w:ascii="Book Antiqua" w:hAnsi="Book Antiqua"/>
          <w:noProof/>
        </w:rPr>
      </w:pPr>
      <w:r w:rsidRPr="00F44482">
        <w:rPr>
          <w:rFonts w:ascii="Book Antiqua" w:hAnsi="Book Antiqua"/>
          <w:noProof/>
        </w:rPr>
        <w:t xml:space="preserve">Kusuma, H. N. (2016). Pengaruh Ukuran Perusahaan,Leverage, Dan Kepemilikan Saham Publik Terhadap Luas Pengungkapan Csr Pada Perusahaan di Sektor Pertambangan Yang Terdaftar Di Bei Tahun 2014-2015. </w:t>
      </w:r>
      <w:r w:rsidRPr="00F44482">
        <w:rPr>
          <w:rFonts w:ascii="Book Antiqua" w:hAnsi="Book Antiqua"/>
          <w:i/>
          <w:iCs/>
          <w:noProof/>
        </w:rPr>
        <w:t>Jurnal Ilmiah Mahasiswa FEB Universitas Brawijaya</w:t>
      </w:r>
      <w:r w:rsidRPr="00F44482">
        <w:rPr>
          <w:rFonts w:ascii="Book Antiqua" w:hAnsi="Book Antiqua"/>
          <w:noProof/>
        </w:rPr>
        <w:t xml:space="preserve">, </w:t>
      </w:r>
      <w:r w:rsidRPr="00F44482">
        <w:rPr>
          <w:rFonts w:ascii="Book Antiqua" w:hAnsi="Book Antiqua"/>
          <w:i/>
          <w:iCs/>
          <w:noProof/>
        </w:rPr>
        <w:t>5</w:t>
      </w:r>
      <w:r w:rsidRPr="00F44482">
        <w:rPr>
          <w:rFonts w:ascii="Book Antiqua" w:hAnsi="Book Antiqua"/>
          <w:noProof/>
        </w:rPr>
        <w:t>(2).</w:t>
      </w:r>
    </w:p>
    <w:p w14:paraId="56EEFD29" w14:textId="77777777" w:rsidR="00F44482" w:rsidRPr="00F44482" w:rsidRDefault="00373A35" w:rsidP="00F44482">
      <w:pPr>
        <w:autoSpaceDE w:val="0"/>
        <w:autoSpaceDN w:val="0"/>
        <w:adjustRightInd w:val="0"/>
        <w:ind w:left="480" w:hanging="480"/>
        <w:rPr>
          <w:rFonts w:ascii="Book Antiqua" w:hAnsi="Book Antiqua"/>
          <w:noProof/>
        </w:rPr>
      </w:pPr>
      <w:r w:rsidRPr="00F44482">
        <w:rPr>
          <w:rFonts w:ascii="Book Antiqua" w:hAnsi="Book Antiqua"/>
          <w:noProof/>
        </w:rPr>
        <w:t xml:space="preserve">Mukhibad, H. (2018). </w:t>
      </w:r>
      <w:r w:rsidRPr="00F44482">
        <w:rPr>
          <w:rFonts w:ascii="Book Antiqua" w:hAnsi="Book Antiqua"/>
          <w:i/>
          <w:iCs/>
          <w:noProof/>
        </w:rPr>
        <w:t>Peran dewan pengawas syariah dalam pengungkapan</w:t>
      </w:r>
      <w:r w:rsidRPr="00F44482">
        <w:rPr>
          <w:rFonts w:ascii="Book Antiqua" w:hAnsi="Book Antiqua"/>
          <w:noProof/>
        </w:rPr>
        <w:t>. 299–311.</w:t>
      </w:r>
    </w:p>
    <w:p w14:paraId="297302B6" w14:textId="77777777" w:rsidR="00F44482" w:rsidRPr="00F44482" w:rsidRDefault="00373A35" w:rsidP="00F44482">
      <w:pPr>
        <w:autoSpaceDE w:val="0"/>
        <w:autoSpaceDN w:val="0"/>
        <w:adjustRightInd w:val="0"/>
        <w:ind w:left="480" w:hanging="480"/>
        <w:rPr>
          <w:rFonts w:ascii="Book Antiqua" w:hAnsi="Book Antiqua"/>
          <w:noProof/>
        </w:rPr>
      </w:pPr>
      <w:r w:rsidRPr="00F44482">
        <w:rPr>
          <w:rFonts w:ascii="Book Antiqua" w:hAnsi="Book Antiqua"/>
          <w:noProof/>
        </w:rPr>
        <w:t xml:space="preserve">Nugraheni, P. (2018). Sharia supervisory board and social performance of Indonesian Islamic banks. </w:t>
      </w:r>
      <w:r w:rsidRPr="00F44482">
        <w:rPr>
          <w:rFonts w:ascii="Book Antiqua" w:hAnsi="Book Antiqua"/>
          <w:i/>
          <w:iCs/>
          <w:noProof/>
        </w:rPr>
        <w:t>Jurnal Akuntansi Dan Auditing Indonesia</w:t>
      </w:r>
      <w:r w:rsidRPr="00F44482">
        <w:rPr>
          <w:rFonts w:ascii="Book Antiqua" w:hAnsi="Book Antiqua"/>
          <w:noProof/>
        </w:rPr>
        <w:t xml:space="preserve">, </w:t>
      </w:r>
      <w:r w:rsidRPr="00F44482">
        <w:rPr>
          <w:rFonts w:ascii="Book Antiqua" w:hAnsi="Book Antiqua"/>
          <w:i/>
          <w:iCs/>
          <w:noProof/>
        </w:rPr>
        <w:t>22</w:t>
      </w:r>
      <w:r w:rsidRPr="00F44482">
        <w:rPr>
          <w:rFonts w:ascii="Book Antiqua" w:hAnsi="Book Antiqua"/>
          <w:noProof/>
        </w:rPr>
        <w:t>(2).</w:t>
      </w:r>
    </w:p>
    <w:p w14:paraId="3C3BBA69" w14:textId="77777777" w:rsidR="00F44482" w:rsidRPr="00F44482" w:rsidRDefault="00373A35" w:rsidP="00F44482">
      <w:pPr>
        <w:autoSpaceDE w:val="0"/>
        <w:autoSpaceDN w:val="0"/>
        <w:adjustRightInd w:val="0"/>
        <w:ind w:left="480" w:hanging="480"/>
        <w:rPr>
          <w:rFonts w:ascii="Book Antiqua" w:hAnsi="Book Antiqua"/>
          <w:noProof/>
        </w:rPr>
      </w:pPr>
      <w:r w:rsidRPr="00F44482">
        <w:rPr>
          <w:rFonts w:ascii="Book Antiqua" w:hAnsi="Book Antiqua"/>
          <w:noProof/>
        </w:rPr>
        <w:t xml:space="preserve">Nugraheni, P., &amp; Permatasari, D. (2016). Perusahaan syariah dan pengungkapan corporate social responsibility: Analisis pengaruh faktor internal dan karakteristik perusahaan. </w:t>
      </w:r>
      <w:r w:rsidRPr="00F44482">
        <w:rPr>
          <w:rFonts w:ascii="Book Antiqua" w:hAnsi="Book Antiqua"/>
          <w:i/>
          <w:iCs/>
          <w:noProof/>
        </w:rPr>
        <w:t>Jurnal Akuntansi &amp; Auditing Indonesia</w:t>
      </w:r>
      <w:r w:rsidRPr="00F44482">
        <w:rPr>
          <w:rFonts w:ascii="Book Antiqua" w:hAnsi="Book Antiqua"/>
          <w:noProof/>
        </w:rPr>
        <w:t xml:space="preserve">, </w:t>
      </w:r>
      <w:r w:rsidRPr="00F44482">
        <w:rPr>
          <w:rFonts w:ascii="Book Antiqua" w:hAnsi="Book Antiqua"/>
          <w:i/>
          <w:iCs/>
          <w:noProof/>
        </w:rPr>
        <w:t>20</w:t>
      </w:r>
      <w:r w:rsidRPr="00F44482">
        <w:rPr>
          <w:rFonts w:ascii="Book Antiqua" w:hAnsi="Book Antiqua"/>
          <w:noProof/>
        </w:rPr>
        <w:t>(2), 136–146. https://doi.org/10.20885/jaai.vol20.iss2.art6</w:t>
      </w:r>
    </w:p>
    <w:p w14:paraId="5A6B341F" w14:textId="77777777" w:rsidR="00F44482" w:rsidRPr="00F44482" w:rsidRDefault="00373A35" w:rsidP="00F44482">
      <w:pPr>
        <w:autoSpaceDE w:val="0"/>
        <w:autoSpaceDN w:val="0"/>
        <w:adjustRightInd w:val="0"/>
        <w:ind w:left="480" w:hanging="480"/>
        <w:rPr>
          <w:rFonts w:ascii="Book Antiqua" w:hAnsi="Book Antiqua"/>
          <w:noProof/>
        </w:rPr>
      </w:pPr>
      <w:r w:rsidRPr="00F44482">
        <w:rPr>
          <w:rFonts w:ascii="Book Antiqua" w:hAnsi="Book Antiqua"/>
          <w:noProof/>
        </w:rPr>
        <w:t xml:space="preserve">Qoyum, A., Mutmainah, L., Setyono, J., &amp; Qizam, I. (2017). </w:t>
      </w:r>
      <w:r w:rsidRPr="00F44482">
        <w:rPr>
          <w:rFonts w:ascii="Book Antiqua" w:hAnsi="Book Antiqua"/>
          <w:i/>
          <w:iCs/>
          <w:noProof/>
        </w:rPr>
        <w:t>The Impact of Good Corporate Governance, Company Size on Corporate Social Responsibility Disclosure: Case Study of Islamic Banking in Indonesia</w:t>
      </w:r>
      <w:r w:rsidRPr="00F44482">
        <w:rPr>
          <w:rFonts w:ascii="Book Antiqua" w:hAnsi="Book Antiqua"/>
          <w:noProof/>
        </w:rPr>
        <w:t xml:space="preserve">. </w:t>
      </w:r>
      <w:r w:rsidRPr="00F44482">
        <w:rPr>
          <w:rFonts w:ascii="Book Antiqua" w:hAnsi="Book Antiqua"/>
          <w:i/>
          <w:iCs/>
          <w:noProof/>
        </w:rPr>
        <w:t>10</w:t>
      </w:r>
      <w:r w:rsidRPr="00F44482">
        <w:rPr>
          <w:rFonts w:ascii="Book Antiqua" w:hAnsi="Book Antiqua"/>
          <w:noProof/>
        </w:rPr>
        <w:t>. https://doi.org/10.21043/iqtishadia.v10i1.2365</w:t>
      </w:r>
    </w:p>
    <w:p w14:paraId="5DBB6B44" w14:textId="77777777" w:rsidR="00F44482" w:rsidRPr="00F44482" w:rsidRDefault="00373A35" w:rsidP="00F44482">
      <w:pPr>
        <w:autoSpaceDE w:val="0"/>
        <w:autoSpaceDN w:val="0"/>
        <w:adjustRightInd w:val="0"/>
        <w:ind w:left="480" w:hanging="480"/>
        <w:rPr>
          <w:rFonts w:ascii="Book Antiqua" w:hAnsi="Book Antiqua"/>
          <w:noProof/>
        </w:rPr>
      </w:pPr>
      <w:r w:rsidRPr="00F44482">
        <w:rPr>
          <w:rFonts w:ascii="Book Antiqua" w:hAnsi="Book Antiqua"/>
          <w:noProof/>
        </w:rPr>
        <w:t xml:space="preserve">Rahayu, P., &amp; Aniskurillah, I. (2015). Pengaruh Kepemilikan Saham Publik, Profitabilitas Dan Media Terhadap Pengungkapan Tanggung Jawab Sosial. </w:t>
      </w:r>
      <w:r w:rsidRPr="00F44482">
        <w:rPr>
          <w:rFonts w:ascii="Book Antiqua" w:hAnsi="Book Antiqua"/>
          <w:i/>
          <w:iCs/>
          <w:noProof/>
        </w:rPr>
        <w:t>Accounting Analysis Journal</w:t>
      </w:r>
      <w:r w:rsidRPr="00F44482">
        <w:rPr>
          <w:rFonts w:ascii="Book Antiqua" w:hAnsi="Book Antiqua"/>
          <w:noProof/>
        </w:rPr>
        <w:t xml:space="preserve">, </w:t>
      </w:r>
      <w:r w:rsidRPr="00F44482">
        <w:rPr>
          <w:rFonts w:ascii="Book Antiqua" w:hAnsi="Book Antiqua"/>
          <w:i/>
          <w:iCs/>
          <w:noProof/>
        </w:rPr>
        <w:t>4</w:t>
      </w:r>
      <w:r w:rsidRPr="00F44482">
        <w:rPr>
          <w:rFonts w:ascii="Book Antiqua" w:hAnsi="Book Antiqua"/>
          <w:noProof/>
        </w:rPr>
        <w:t>(3), 1–9. https://doi.org/10.15294/aaj.v4i3.8300</w:t>
      </w:r>
    </w:p>
    <w:p w14:paraId="7A0F0004" w14:textId="77777777" w:rsidR="00F44482" w:rsidRPr="00F44482" w:rsidRDefault="00373A35" w:rsidP="00F44482">
      <w:pPr>
        <w:autoSpaceDE w:val="0"/>
        <w:autoSpaceDN w:val="0"/>
        <w:adjustRightInd w:val="0"/>
        <w:ind w:left="480" w:hanging="480"/>
        <w:rPr>
          <w:rFonts w:ascii="Book Antiqua" w:hAnsi="Book Antiqua"/>
          <w:noProof/>
        </w:rPr>
      </w:pPr>
      <w:r w:rsidRPr="00F44482">
        <w:rPr>
          <w:rFonts w:ascii="Book Antiqua" w:hAnsi="Book Antiqua"/>
          <w:noProof/>
        </w:rPr>
        <w:t xml:space="preserve">Rahayu, R. S., &amp; Cahyati, A. D. (2014). Faktor-Faktor Yang Mempengaruhi Pengungkapan Corporate Social Responsibility (CSR) pada Perbankan Syariah. </w:t>
      </w:r>
      <w:r w:rsidRPr="00F44482">
        <w:rPr>
          <w:rFonts w:ascii="Book Antiqua" w:hAnsi="Book Antiqua"/>
          <w:i/>
          <w:iCs/>
          <w:noProof/>
        </w:rPr>
        <w:t>JRAK</w:t>
      </w:r>
      <w:r w:rsidRPr="00F44482">
        <w:rPr>
          <w:rFonts w:ascii="Book Antiqua" w:hAnsi="Book Antiqua"/>
          <w:noProof/>
        </w:rPr>
        <w:t xml:space="preserve">, </w:t>
      </w:r>
      <w:r w:rsidRPr="00F44482">
        <w:rPr>
          <w:rFonts w:ascii="Book Antiqua" w:hAnsi="Book Antiqua"/>
          <w:i/>
          <w:iCs/>
          <w:noProof/>
        </w:rPr>
        <w:t>5</w:t>
      </w:r>
      <w:r w:rsidRPr="00F44482">
        <w:rPr>
          <w:rFonts w:ascii="Book Antiqua" w:hAnsi="Book Antiqua"/>
          <w:noProof/>
        </w:rPr>
        <w:t>(2), 74–87. https://doi.org/10.35591/wahana.v23i1.183</w:t>
      </w:r>
    </w:p>
    <w:p w14:paraId="2C80A45F" w14:textId="77777777" w:rsidR="00F44482" w:rsidRPr="00F44482" w:rsidRDefault="00373A35" w:rsidP="00F44482">
      <w:pPr>
        <w:autoSpaceDE w:val="0"/>
        <w:autoSpaceDN w:val="0"/>
        <w:adjustRightInd w:val="0"/>
        <w:ind w:left="480" w:hanging="480"/>
        <w:rPr>
          <w:rFonts w:ascii="Book Antiqua" w:hAnsi="Book Antiqua"/>
          <w:noProof/>
        </w:rPr>
      </w:pPr>
      <w:r w:rsidRPr="00F44482">
        <w:rPr>
          <w:rFonts w:ascii="Book Antiqua" w:hAnsi="Book Antiqua"/>
          <w:noProof/>
        </w:rPr>
        <w:t xml:space="preserve">Riyani, D., &amp; Dewi, N. H. U. (2018). </w:t>
      </w:r>
      <w:r w:rsidRPr="00F44482">
        <w:rPr>
          <w:rFonts w:ascii="Book Antiqua" w:hAnsi="Book Antiqua"/>
          <w:i/>
          <w:iCs/>
          <w:noProof/>
        </w:rPr>
        <w:t>The effect of corporate governance, leverage, and liquidity on Islamic Social Reporting ( ISR ) disclosure in Islamic commercial banks in Indonesia</w:t>
      </w:r>
      <w:r w:rsidRPr="00F44482">
        <w:rPr>
          <w:rFonts w:ascii="Book Antiqua" w:hAnsi="Book Antiqua"/>
          <w:noProof/>
        </w:rPr>
        <w:t xml:space="preserve">. </w:t>
      </w:r>
      <w:r w:rsidRPr="00F44482">
        <w:rPr>
          <w:rFonts w:ascii="Book Antiqua" w:hAnsi="Book Antiqua"/>
          <w:i/>
          <w:iCs/>
          <w:noProof/>
        </w:rPr>
        <w:t>8</w:t>
      </w:r>
      <w:r w:rsidRPr="00F44482">
        <w:rPr>
          <w:rFonts w:ascii="Book Antiqua" w:hAnsi="Book Antiqua"/>
          <w:noProof/>
        </w:rPr>
        <w:t>(2), 121–130. https://doi.org/10.14414/tiar.v8i2.1628</w:t>
      </w:r>
    </w:p>
    <w:p w14:paraId="5E2EA15C" w14:textId="77777777" w:rsidR="00F44482" w:rsidRPr="00F44482" w:rsidRDefault="00373A35" w:rsidP="00F44482">
      <w:pPr>
        <w:autoSpaceDE w:val="0"/>
        <w:autoSpaceDN w:val="0"/>
        <w:adjustRightInd w:val="0"/>
        <w:ind w:left="480" w:hanging="480"/>
        <w:rPr>
          <w:rFonts w:ascii="Book Antiqua" w:hAnsi="Book Antiqua"/>
          <w:noProof/>
        </w:rPr>
      </w:pPr>
      <w:r w:rsidRPr="00F44482">
        <w:rPr>
          <w:rFonts w:ascii="Book Antiqua" w:hAnsi="Book Antiqua"/>
          <w:noProof/>
        </w:rPr>
        <w:t xml:space="preserve">Sawitri, D. R., Juanda, A., &amp; Jati, A. W. (2017a). Analisis Pengungkapan Corporate Social Responsibility Perbankan Syariah Indonesia Berdasarkan Islamic Social Reporting Index. </w:t>
      </w:r>
      <w:r w:rsidRPr="00F44482">
        <w:rPr>
          <w:rFonts w:ascii="Book Antiqua" w:hAnsi="Book Antiqua"/>
          <w:i/>
          <w:iCs/>
          <w:noProof/>
        </w:rPr>
        <w:t>Kompartemen: Jurnal Ilmiah Akuntansi</w:t>
      </w:r>
      <w:r w:rsidRPr="00F44482">
        <w:rPr>
          <w:rFonts w:ascii="Book Antiqua" w:hAnsi="Book Antiqua"/>
          <w:noProof/>
        </w:rPr>
        <w:t xml:space="preserve">, </w:t>
      </w:r>
      <w:r w:rsidRPr="00F44482">
        <w:rPr>
          <w:rFonts w:ascii="Book Antiqua" w:hAnsi="Book Antiqua"/>
          <w:i/>
          <w:iCs/>
          <w:noProof/>
        </w:rPr>
        <w:t>15</w:t>
      </w:r>
      <w:r w:rsidRPr="00F44482">
        <w:rPr>
          <w:rFonts w:ascii="Book Antiqua" w:hAnsi="Book Antiqua"/>
          <w:noProof/>
        </w:rPr>
        <w:t>(2), 983–992. https://doi.org/10.30595/kompartemen.v15i2.1876</w:t>
      </w:r>
    </w:p>
    <w:p w14:paraId="3DF11FE3" w14:textId="77777777" w:rsidR="00F44482" w:rsidRPr="00F44482" w:rsidRDefault="00373A35" w:rsidP="00F44482">
      <w:pPr>
        <w:autoSpaceDE w:val="0"/>
        <w:autoSpaceDN w:val="0"/>
        <w:adjustRightInd w:val="0"/>
        <w:ind w:left="480" w:hanging="480"/>
        <w:rPr>
          <w:rFonts w:ascii="Book Antiqua" w:hAnsi="Book Antiqua"/>
          <w:noProof/>
        </w:rPr>
      </w:pPr>
      <w:r w:rsidRPr="00F44482">
        <w:rPr>
          <w:rFonts w:ascii="Book Antiqua" w:hAnsi="Book Antiqua"/>
          <w:noProof/>
        </w:rPr>
        <w:t xml:space="preserve">Sawitri, D. R., Juanda, A., &amp; Jati, A. W. (2017b). Analisis Pengungkapan Corporate Social Responsibility Perbankan Syariah Indonesia Berdasarkan Islamic Social Reporting Index. </w:t>
      </w:r>
      <w:r w:rsidRPr="00F44482">
        <w:rPr>
          <w:rFonts w:ascii="Book Antiqua" w:hAnsi="Book Antiqua"/>
          <w:i/>
          <w:iCs/>
          <w:noProof/>
        </w:rPr>
        <w:t>Kompartemen: Jurnal Ilmiah Akuntansi</w:t>
      </w:r>
      <w:r w:rsidRPr="00F44482">
        <w:rPr>
          <w:rFonts w:ascii="Book Antiqua" w:hAnsi="Book Antiqua"/>
          <w:noProof/>
        </w:rPr>
        <w:t xml:space="preserve">, </w:t>
      </w:r>
      <w:r w:rsidRPr="00F44482">
        <w:rPr>
          <w:rFonts w:ascii="Book Antiqua" w:hAnsi="Book Antiqua"/>
          <w:i/>
          <w:iCs/>
          <w:noProof/>
        </w:rPr>
        <w:t>15</w:t>
      </w:r>
      <w:r w:rsidRPr="00F44482">
        <w:rPr>
          <w:rFonts w:ascii="Book Antiqua" w:hAnsi="Book Antiqua"/>
          <w:noProof/>
        </w:rPr>
        <w:t>(2). https://doi.org/10.30595/kompartemen.v15i2.1876</w:t>
      </w:r>
    </w:p>
    <w:p w14:paraId="66611CA8" w14:textId="77777777" w:rsidR="00F44482" w:rsidRPr="00F44482" w:rsidRDefault="00373A35" w:rsidP="00F44482">
      <w:pPr>
        <w:autoSpaceDE w:val="0"/>
        <w:autoSpaceDN w:val="0"/>
        <w:adjustRightInd w:val="0"/>
        <w:ind w:left="480" w:hanging="480"/>
        <w:rPr>
          <w:rFonts w:ascii="Book Antiqua" w:hAnsi="Book Antiqua"/>
          <w:noProof/>
        </w:rPr>
      </w:pPr>
      <w:r w:rsidRPr="00F44482">
        <w:rPr>
          <w:rFonts w:ascii="Book Antiqua" w:hAnsi="Book Antiqua"/>
          <w:noProof/>
        </w:rPr>
        <w:t xml:space="preserve">Usmar, D. (2014). Analisis faktor-faktor yang mempengaruhi islamic social reporting (isr) dan implikasi islamic social reporting terhadap kualitas laba (earnings quality). </w:t>
      </w:r>
      <w:r w:rsidRPr="00F44482">
        <w:rPr>
          <w:rFonts w:ascii="Book Antiqua" w:hAnsi="Book Antiqua"/>
          <w:i/>
          <w:iCs/>
          <w:noProof/>
        </w:rPr>
        <w:t>Jurnal Wawasan Dan Riset Akuntansi</w:t>
      </w:r>
      <w:r w:rsidRPr="00F44482">
        <w:rPr>
          <w:rFonts w:ascii="Book Antiqua" w:hAnsi="Book Antiqua"/>
          <w:noProof/>
        </w:rPr>
        <w:t xml:space="preserve">, </w:t>
      </w:r>
      <w:r w:rsidRPr="00F44482">
        <w:rPr>
          <w:rFonts w:ascii="Book Antiqua" w:hAnsi="Book Antiqua"/>
          <w:i/>
          <w:iCs/>
          <w:noProof/>
        </w:rPr>
        <w:t>2</w:t>
      </w:r>
      <w:r w:rsidRPr="00F44482">
        <w:rPr>
          <w:rFonts w:ascii="Book Antiqua" w:hAnsi="Book Antiqua"/>
          <w:noProof/>
        </w:rPr>
        <w:t>(1), 1–22.</w:t>
      </w:r>
    </w:p>
    <w:p w14:paraId="36954707" w14:textId="77777777" w:rsidR="00F44482" w:rsidRPr="00F44482" w:rsidRDefault="00373A35" w:rsidP="00F44482">
      <w:pPr>
        <w:autoSpaceDE w:val="0"/>
        <w:autoSpaceDN w:val="0"/>
        <w:adjustRightInd w:val="0"/>
        <w:ind w:left="480" w:hanging="480"/>
        <w:rPr>
          <w:rFonts w:ascii="Book Antiqua" w:hAnsi="Book Antiqua"/>
          <w:noProof/>
        </w:rPr>
      </w:pPr>
      <w:r w:rsidRPr="00F44482">
        <w:rPr>
          <w:rFonts w:ascii="Book Antiqua" w:hAnsi="Book Antiqua"/>
          <w:noProof/>
        </w:rPr>
        <w:t xml:space="preserve">Wahyono, Eskasari, P., &amp; Cahya, B. T. (2020). </w:t>
      </w:r>
      <w:r w:rsidRPr="00F44482">
        <w:rPr>
          <w:rFonts w:ascii="Book Antiqua" w:hAnsi="Book Antiqua"/>
          <w:i/>
          <w:iCs/>
          <w:noProof/>
        </w:rPr>
        <w:t>Corporate Governance Strength, Firm's Characteristics, and Islamic Social Report</w:t>
      </w:r>
      <w:r w:rsidRPr="00F44482">
        <w:rPr>
          <w:i/>
          <w:iCs/>
          <w:noProof/>
        </w:rPr>
        <w:t> </w:t>
      </w:r>
      <w:r w:rsidRPr="00F44482">
        <w:rPr>
          <w:rFonts w:ascii="Book Antiqua" w:hAnsi="Book Antiqua"/>
          <w:i/>
          <w:iCs/>
          <w:noProof/>
        </w:rPr>
        <w:t>: Evidence from Jakarta Islamic Index</w:t>
      </w:r>
      <w:r w:rsidRPr="00F44482">
        <w:rPr>
          <w:rFonts w:ascii="Book Antiqua" w:hAnsi="Book Antiqua"/>
          <w:noProof/>
        </w:rPr>
        <w:t xml:space="preserve">. </w:t>
      </w:r>
      <w:r w:rsidRPr="00F44482">
        <w:rPr>
          <w:rFonts w:ascii="Book Antiqua" w:hAnsi="Book Antiqua"/>
          <w:i/>
          <w:iCs/>
          <w:noProof/>
        </w:rPr>
        <w:t>21</w:t>
      </w:r>
      <w:r w:rsidRPr="00F44482">
        <w:rPr>
          <w:rFonts w:ascii="Book Antiqua" w:hAnsi="Book Antiqua"/>
          <w:noProof/>
        </w:rPr>
        <w:t>(2). https://doi.org/10.18196/jai.2102155</w:t>
      </w:r>
    </w:p>
    <w:p w14:paraId="17D2A3E6" w14:textId="77777777" w:rsidR="00F44482" w:rsidRPr="00F44482" w:rsidRDefault="00373A35" w:rsidP="00F44482">
      <w:pPr>
        <w:autoSpaceDE w:val="0"/>
        <w:autoSpaceDN w:val="0"/>
        <w:adjustRightInd w:val="0"/>
        <w:ind w:left="480" w:hanging="480"/>
        <w:rPr>
          <w:rFonts w:ascii="Book Antiqua" w:hAnsi="Book Antiqua"/>
          <w:noProof/>
        </w:rPr>
      </w:pPr>
      <w:r w:rsidRPr="00F44482">
        <w:rPr>
          <w:rFonts w:ascii="Book Antiqua" w:hAnsi="Book Antiqua"/>
          <w:noProof/>
        </w:rPr>
        <w:t xml:space="preserve">Wahyuningsih, A., &amp; Mahdar, N. M. (2019). Pengaruh Size, Leverage dan Profitabilitas Terhadap Pengungkapan Csr Pada Perusahaan Manufaktur yang Terdaftar di Bursa Efek Indonesia. </w:t>
      </w:r>
      <w:r w:rsidRPr="00F44482">
        <w:rPr>
          <w:rFonts w:ascii="Book Antiqua" w:hAnsi="Book Antiqua"/>
          <w:i/>
          <w:iCs/>
          <w:noProof/>
        </w:rPr>
        <w:t>Journal of Chemical Information and Modeling</w:t>
      </w:r>
      <w:r w:rsidRPr="00F44482">
        <w:rPr>
          <w:rFonts w:ascii="Book Antiqua" w:hAnsi="Book Antiqua"/>
          <w:noProof/>
        </w:rPr>
        <w:t xml:space="preserve">, </w:t>
      </w:r>
      <w:r w:rsidRPr="00F44482">
        <w:rPr>
          <w:rFonts w:ascii="Book Antiqua" w:hAnsi="Book Antiqua"/>
          <w:i/>
          <w:iCs/>
          <w:noProof/>
        </w:rPr>
        <w:t>53</w:t>
      </w:r>
      <w:r w:rsidRPr="00F44482">
        <w:rPr>
          <w:rFonts w:ascii="Book Antiqua" w:hAnsi="Book Antiqua"/>
          <w:noProof/>
        </w:rPr>
        <w:t>(9), 1689–1699.</w:t>
      </w:r>
    </w:p>
    <w:p w14:paraId="06E6658E" w14:textId="77777777" w:rsidR="00CA7FC1" w:rsidRPr="002B4317" w:rsidRDefault="00373A35" w:rsidP="00CA7FC1">
      <w:pPr>
        <w:pStyle w:val="Ventura-Reference"/>
        <w:sectPr w:rsidR="00CA7FC1" w:rsidRPr="002B4317" w:rsidSect="008018A9">
          <w:type w:val="continuous"/>
          <w:pgSz w:w="11907" w:h="16840" w:code="9"/>
          <w:pgMar w:top="1701" w:right="1247" w:bottom="1531" w:left="1134" w:header="1021" w:footer="1077" w:gutter="0"/>
          <w:cols w:num="2" w:space="340"/>
          <w:docGrid w:linePitch="360"/>
        </w:sectPr>
      </w:pPr>
      <w:r>
        <w:fldChar w:fldCharType="end"/>
      </w:r>
    </w:p>
    <w:p w14:paraId="4FD2B880" w14:textId="77777777" w:rsidR="00464DED" w:rsidRPr="002B4317" w:rsidRDefault="00464DED" w:rsidP="005E10ED">
      <w:pPr>
        <w:pStyle w:val="Ventura-Heading1"/>
      </w:pPr>
    </w:p>
    <w:p w14:paraId="61FCDE04" w14:textId="77777777" w:rsidR="009D3149" w:rsidRPr="002B4317" w:rsidRDefault="009D3149" w:rsidP="005E10ED">
      <w:pPr>
        <w:pStyle w:val="Ventura-Heading1"/>
      </w:pPr>
    </w:p>
    <w:sectPr w:rsidR="009D3149" w:rsidRPr="002B4317" w:rsidSect="008018A9">
      <w:headerReference w:type="even" r:id="rId21"/>
      <w:type w:val="continuous"/>
      <w:pgSz w:w="11907" w:h="16840" w:code="9"/>
      <w:pgMar w:top="1701" w:right="1247" w:bottom="1531" w:left="1134" w:header="1021" w:footer="107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50D05" w14:textId="77777777" w:rsidR="003F68BE" w:rsidRDefault="00373A35">
      <w:r>
        <w:separator/>
      </w:r>
    </w:p>
  </w:endnote>
  <w:endnote w:type="continuationSeparator" w:id="0">
    <w:p w14:paraId="286C019C" w14:textId="77777777" w:rsidR="003F68BE" w:rsidRDefault="00373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Gill Sans MT">
    <w:panose1 w:val="020B0502020104020203"/>
    <w:charset w:val="00"/>
    <w:family w:val="swiss"/>
    <w:pitch w:val="variable"/>
    <w:sig w:usb0="00000007" w:usb1="00000000" w:usb2="00000000" w:usb3="00000000" w:csb0="00000003"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C9705" w14:textId="77777777" w:rsidR="001B4963" w:rsidRPr="00292DA8" w:rsidRDefault="00373A35" w:rsidP="00F155A9">
    <w:pPr>
      <w:pStyle w:val="Footer"/>
      <w:rPr>
        <w:sz w:val="20"/>
        <w:szCs w:val="20"/>
      </w:rPr>
    </w:pPr>
    <w:r w:rsidRPr="00292DA8">
      <w:rPr>
        <w:rStyle w:val="NomorHalaman"/>
        <w:sz w:val="20"/>
        <w:szCs w:val="20"/>
      </w:rPr>
      <w:fldChar w:fldCharType="begin"/>
    </w:r>
    <w:r w:rsidRPr="00292DA8">
      <w:rPr>
        <w:rStyle w:val="NomorHalaman"/>
        <w:sz w:val="20"/>
        <w:szCs w:val="20"/>
      </w:rPr>
      <w:instrText xml:space="preserve"> PAGE </w:instrText>
    </w:r>
    <w:r w:rsidRPr="00292DA8">
      <w:rPr>
        <w:rStyle w:val="NomorHalaman"/>
        <w:sz w:val="20"/>
        <w:szCs w:val="20"/>
      </w:rPr>
      <w:fldChar w:fldCharType="separate"/>
    </w:r>
    <w:r w:rsidR="0051043E">
      <w:rPr>
        <w:rStyle w:val="NomorHalaman"/>
        <w:noProof/>
        <w:sz w:val="20"/>
        <w:szCs w:val="20"/>
      </w:rPr>
      <w:t>2</w:t>
    </w:r>
    <w:r w:rsidRPr="00292DA8">
      <w:rPr>
        <w:rStyle w:val="NomorHala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7FF86" w14:textId="77777777" w:rsidR="001B4963" w:rsidRPr="00292DA8" w:rsidRDefault="00373A35" w:rsidP="00F155A9">
    <w:pPr>
      <w:pStyle w:val="Footer"/>
      <w:rPr>
        <w:sz w:val="20"/>
        <w:szCs w:val="20"/>
      </w:rPr>
    </w:pPr>
    <w:r w:rsidRPr="00292DA8">
      <w:rPr>
        <w:rStyle w:val="NomorHalaman"/>
        <w:sz w:val="20"/>
        <w:szCs w:val="20"/>
      </w:rPr>
      <w:fldChar w:fldCharType="begin"/>
    </w:r>
    <w:r w:rsidRPr="00292DA8">
      <w:rPr>
        <w:rStyle w:val="NomorHalaman"/>
        <w:sz w:val="20"/>
        <w:szCs w:val="20"/>
      </w:rPr>
      <w:instrText xml:space="preserve"> PAGE </w:instrText>
    </w:r>
    <w:r w:rsidRPr="00292DA8">
      <w:rPr>
        <w:rStyle w:val="NomorHalaman"/>
        <w:sz w:val="20"/>
        <w:szCs w:val="20"/>
      </w:rPr>
      <w:fldChar w:fldCharType="separate"/>
    </w:r>
    <w:r w:rsidR="0051043E">
      <w:rPr>
        <w:rStyle w:val="NomorHalaman"/>
        <w:noProof/>
        <w:sz w:val="20"/>
        <w:szCs w:val="20"/>
      </w:rPr>
      <w:t>1</w:t>
    </w:r>
    <w:r w:rsidRPr="00292DA8">
      <w:rPr>
        <w:rStyle w:val="NomorHalaman"/>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C6B16" w14:textId="77777777" w:rsidR="001B4963" w:rsidRPr="00EE20D8" w:rsidRDefault="00373A35" w:rsidP="00F155A9">
    <w:pPr>
      <w:pStyle w:val="Footer"/>
    </w:pPr>
    <w:r w:rsidRPr="00EE20D8">
      <w:rPr>
        <w:rStyle w:val="NomorHalaman"/>
        <w:szCs w:val="22"/>
      </w:rPr>
      <w:fldChar w:fldCharType="begin"/>
    </w:r>
    <w:r w:rsidRPr="00EE20D8">
      <w:rPr>
        <w:rStyle w:val="NomorHalaman"/>
        <w:szCs w:val="22"/>
      </w:rPr>
      <w:instrText xml:space="preserve"> PAGE </w:instrText>
    </w:r>
    <w:r w:rsidRPr="00EE20D8">
      <w:rPr>
        <w:rStyle w:val="NomorHalaman"/>
        <w:szCs w:val="22"/>
      </w:rPr>
      <w:fldChar w:fldCharType="separate"/>
    </w:r>
    <w:r w:rsidR="000832E5">
      <w:rPr>
        <w:rStyle w:val="NomorHalaman"/>
        <w:noProof/>
        <w:szCs w:val="22"/>
      </w:rPr>
      <w:t>6</w:t>
    </w:r>
    <w:r w:rsidRPr="00EE20D8">
      <w:rPr>
        <w:rStyle w:val="NomorHalaman"/>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138C2" w14:textId="77777777" w:rsidR="003F68BE" w:rsidRDefault="00373A35">
      <w:r>
        <w:separator/>
      </w:r>
    </w:p>
  </w:footnote>
  <w:footnote w:type="continuationSeparator" w:id="0">
    <w:p w14:paraId="0EFC30DC" w14:textId="77777777" w:rsidR="003F68BE" w:rsidRDefault="00373A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53FAB" w14:textId="77777777" w:rsidR="001B4963" w:rsidRPr="00EB2CEB" w:rsidRDefault="00373A35" w:rsidP="003A40F4">
    <w:pPr>
      <w:pStyle w:val="Header"/>
      <w:tabs>
        <w:tab w:val="clear" w:pos="8789"/>
        <w:tab w:val="right" w:pos="9526"/>
      </w:tabs>
      <w:ind w:left="11520" w:hanging="11520"/>
      <w:jc w:val="right"/>
      <w:rPr>
        <w:sz w:val="18"/>
        <w:szCs w:val="18"/>
      </w:rPr>
    </w:pPr>
    <w:r>
      <w:rPr>
        <w:sz w:val="18"/>
        <w:szCs w:val="18"/>
      </w:rPr>
      <w:t>Author 1:</w:t>
    </w:r>
    <w:r w:rsidRPr="00D23355">
      <w:rPr>
        <w:sz w:val="18"/>
        <w:szCs w:val="18"/>
      </w:rPr>
      <w:t xml:space="preserve"> </w:t>
    </w:r>
    <w:r w:rsidRPr="003A40F4">
      <w:rPr>
        <w:sz w:val="18"/>
        <w:szCs w:val="18"/>
      </w:rPr>
      <w:t>It should reflect</w:t>
    </w:r>
    <w:r w:rsidRPr="00AE6D45">
      <w:rPr>
        <w:sz w:val="18"/>
        <w:szCs w:val="18"/>
      </w:rPr>
      <w:t xml:space="preserve"> </w:t>
    </w:r>
    <w:r w:rsidRPr="00EB2CEB">
      <w:rPr>
        <w:sz w:val="18"/>
        <w:szCs w:val="18"/>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5DBB4" w14:textId="77777777" w:rsidR="001B4963" w:rsidRPr="00BD53F9" w:rsidRDefault="00373A35" w:rsidP="000B0B83">
    <w:pPr>
      <w:pStyle w:val="Header"/>
      <w:tabs>
        <w:tab w:val="clear" w:pos="8789"/>
        <w:tab w:val="right" w:pos="9526"/>
      </w:tabs>
      <w:jc w:val="center"/>
      <w:rPr>
        <w:i/>
        <w:iCs/>
        <w:sz w:val="18"/>
        <w:szCs w:val="18"/>
      </w:rPr>
    </w:pPr>
    <w:r>
      <w:rPr>
        <w:i/>
        <w:iCs/>
        <w:sz w:val="18"/>
        <w:szCs w:val="18"/>
      </w:rPr>
      <w:t>The Indonesian Accounting Review</w:t>
    </w:r>
    <w:r w:rsidRPr="00BD53F9">
      <w:rPr>
        <w:i/>
        <w:iCs/>
        <w:sz w:val="18"/>
        <w:szCs w:val="18"/>
      </w:rPr>
      <w:t xml:space="preserve"> Vol. </w:t>
    </w:r>
    <w:r>
      <w:rPr>
        <w:i/>
        <w:iCs/>
        <w:sz w:val="18"/>
        <w:szCs w:val="18"/>
      </w:rPr>
      <w:t>5</w:t>
    </w:r>
    <w:r w:rsidRPr="00BD53F9">
      <w:rPr>
        <w:i/>
        <w:iCs/>
        <w:sz w:val="18"/>
        <w:szCs w:val="18"/>
      </w:rPr>
      <w:t>,</w:t>
    </w:r>
    <w:r>
      <w:rPr>
        <w:i/>
        <w:iCs/>
        <w:sz w:val="18"/>
        <w:szCs w:val="18"/>
      </w:rPr>
      <w:t xml:space="preserve"> No. </w:t>
    </w:r>
    <w:r>
      <w:rPr>
        <w:i/>
        <w:iCs/>
        <w:sz w:val="18"/>
        <w:szCs w:val="18"/>
        <w:lang w:val="id-ID"/>
      </w:rPr>
      <w:t>2</w:t>
    </w:r>
    <w:r>
      <w:rPr>
        <w:i/>
        <w:iCs/>
        <w:sz w:val="18"/>
        <w:szCs w:val="18"/>
      </w:rPr>
      <w:t>, July – January 2016, pages 1 – 14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1FA09" w14:textId="77777777" w:rsidR="001B4963" w:rsidRDefault="00373A35" w:rsidP="00F155A9">
    <w:pPr>
      <w:pStyle w:val="Header"/>
    </w:pPr>
    <w:r w:rsidRPr="004201DD">
      <w:t>ISSN 208</w:t>
    </w:r>
    <w:r>
      <w:t>7-3735</w:t>
    </w:r>
    <w:r>
      <w:tab/>
      <w:t>Macroeconomic a</w:t>
    </w:r>
    <w:r w:rsidRPr="00AD018C">
      <w:t>nd Bank-Specific</w:t>
    </w:r>
    <w:r w:rsidRPr="00873F1F">
      <w:t xml:space="preserve"> </w:t>
    </w:r>
    <w:r>
      <w:t>… (</w:t>
    </w:r>
    <w:proofErr w:type="spellStart"/>
    <w:r w:rsidRPr="00AD018C">
      <w:t>Suhartono</w:t>
    </w:r>
    <w:proofErr w:type="spellEnd"/>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35259" w14:textId="77777777" w:rsidR="001B4963" w:rsidRDefault="001B4963" w:rsidP="00F155A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35pt;height:9.35pt" o:bullet="t">
        <v:imagedata r:id="rId1" o:title="BD14830_"/>
      </v:shape>
    </w:pict>
  </w:numPicBullet>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000002"/>
    <w:multiLevelType w:val="singleLevel"/>
    <w:tmpl w:val="00000002"/>
    <w:name w:val="WW8Num3"/>
    <w:lvl w:ilvl="0">
      <w:start w:val="1"/>
      <w:numFmt w:val="upperLetter"/>
      <w:lvlText w:val="%1."/>
      <w:lvlJc w:val="left"/>
      <w:pPr>
        <w:tabs>
          <w:tab w:val="num" w:pos="720"/>
        </w:tabs>
        <w:ind w:left="720" w:hanging="360"/>
      </w:pPr>
    </w:lvl>
  </w:abstractNum>
  <w:abstractNum w:abstractNumId="2" w15:restartNumberingAfterBreak="0">
    <w:nsid w:val="00BF4A0D"/>
    <w:multiLevelType w:val="hybridMultilevel"/>
    <w:tmpl w:val="6A026CCE"/>
    <w:lvl w:ilvl="0" w:tplc="E8ACB7FE">
      <w:start w:val="1"/>
      <w:numFmt w:val="decimal"/>
      <w:lvlText w:val="%1."/>
      <w:lvlJc w:val="left"/>
      <w:pPr>
        <w:ind w:left="757" w:hanging="360"/>
      </w:pPr>
      <w:rPr>
        <w:rFonts w:hint="default"/>
        <w:b w:val="0"/>
        <w:bCs w:val="0"/>
      </w:rPr>
    </w:lvl>
    <w:lvl w:ilvl="1" w:tplc="0E6229FC" w:tentative="1">
      <w:start w:val="1"/>
      <w:numFmt w:val="lowerLetter"/>
      <w:lvlText w:val="%2."/>
      <w:lvlJc w:val="left"/>
      <w:pPr>
        <w:ind w:left="1477" w:hanging="360"/>
      </w:pPr>
    </w:lvl>
    <w:lvl w:ilvl="2" w:tplc="0016B6FA" w:tentative="1">
      <w:start w:val="1"/>
      <w:numFmt w:val="lowerRoman"/>
      <w:lvlText w:val="%3."/>
      <w:lvlJc w:val="right"/>
      <w:pPr>
        <w:ind w:left="2197" w:hanging="180"/>
      </w:pPr>
    </w:lvl>
    <w:lvl w:ilvl="3" w:tplc="10FCD51C" w:tentative="1">
      <w:start w:val="1"/>
      <w:numFmt w:val="decimal"/>
      <w:lvlText w:val="%4."/>
      <w:lvlJc w:val="left"/>
      <w:pPr>
        <w:ind w:left="2917" w:hanging="360"/>
      </w:pPr>
    </w:lvl>
    <w:lvl w:ilvl="4" w:tplc="23F85D32" w:tentative="1">
      <w:start w:val="1"/>
      <w:numFmt w:val="lowerLetter"/>
      <w:lvlText w:val="%5."/>
      <w:lvlJc w:val="left"/>
      <w:pPr>
        <w:ind w:left="3637" w:hanging="360"/>
      </w:pPr>
    </w:lvl>
    <w:lvl w:ilvl="5" w:tplc="A0706DB2" w:tentative="1">
      <w:start w:val="1"/>
      <w:numFmt w:val="lowerRoman"/>
      <w:lvlText w:val="%6."/>
      <w:lvlJc w:val="right"/>
      <w:pPr>
        <w:ind w:left="4357" w:hanging="180"/>
      </w:pPr>
    </w:lvl>
    <w:lvl w:ilvl="6" w:tplc="AE28A81E" w:tentative="1">
      <w:start w:val="1"/>
      <w:numFmt w:val="decimal"/>
      <w:lvlText w:val="%7."/>
      <w:lvlJc w:val="left"/>
      <w:pPr>
        <w:ind w:left="5077" w:hanging="360"/>
      </w:pPr>
    </w:lvl>
    <w:lvl w:ilvl="7" w:tplc="34AADDB6" w:tentative="1">
      <w:start w:val="1"/>
      <w:numFmt w:val="lowerLetter"/>
      <w:lvlText w:val="%8."/>
      <w:lvlJc w:val="left"/>
      <w:pPr>
        <w:ind w:left="5797" w:hanging="360"/>
      </w:pPr>
    </w:lvl>
    <w:lvl w:ilvl="8" w:tplc="425C1388" w:tentative="1">
      <w:start w:val="1"/>
      <w:numFmt w:val="lowerRoman"/>
      <w:lvlText w:val="%9."/>
      <w:lvlJc w:val="right"/>
      <w:pPr>
        <w:ind w:left="6517" w:hanging="180"/>
      </w:pPr>
    </w:lvl>
  </w:abstractNum>
  <w:abstractNum w:abstractNumId="3" w15:restartNumberingAfterBreak="0">
    <w:nsid w:val="02F35E45"/>
    <w:multiLevelType w:val="hybridMultilevel"/>
    <w:tmpl w:val="8AE4E01A"/>
    <w:lvl w:ilvl="0" w:tplc="A78E69F8">
      <w:start w:val="1"/>
      <w:numFmt w:val="decimal"/>
      <w:lvlText w:val="%1."/>
      <w:lvlJc w:val="left"/>
      <w:pPr>
        <w:ind w:left="1117" w:hanging="360"/>
      </w:pPr>
    </w:lvl>
    <w:lvl w:ilvl="1" w:tplc="EFD0AB60" w:tentative="1">
      <w:start w:val="1"/>
      <w:numFmt w:val="lowerLetter"/>
      <w:lvlText w:val="%2."/>
      <w:lvlJc w:val="left"/>
      <w:pPr>
        <w:ind w:left="1837" w:hanging="360"/>
      </w:pPr>
    </w:lvl>
    <w:lvl w:ilvl="2" w:tplc="37449B68" w:tentative="1">
      <w:start w:val="1"/>
      <w:numFmt w:val="lowerRoman"/>
      <w:lvlText w:val="%3."/>
      <w:lvlJc w:val="right"/>
      <w:pPr>
        <w:ind w:left="2557" w:hanging="180"/>
      </w:pPr>
    </w:lvl>
    <w:lvl w:ilvl="3" w:tplc="4EB25074" w:tentative="1">
      <w:start w:val="1"/>
      <w:numFmt w:val="decimal"/>
      <w:lvlText w:val="%4."/>
      <w:lvlJc w:val="left"/>
      <w:pPr>
        <w:ind w:left="3277" w:hanging="360"/>
      </w:pPr>
    </w:lvl>
    <w:lvl w:ilvl="4" w:tplc="F72E2216" w:tentative="1">
      <w:start w:val="1"/>
      <w:numFmt w:val="lowerLetter"/>
      <w:lvlText w:val="%5."/>
      <w:lvlJc w:val="left"/>
      <w:pPr>
        <w:ind w:left="3997" w:hanging="360"/>
      </w:pPr>
    </w:lvl>
    <w:lvl w:ilvl="5" w:tplc="243C5908" w:tentative="1">
      <w:start w:val="1"/>
      <w:numFmt w:val="lowerRoman"/>
      <w:lvlText w:val="%6."/>
      <w:lvlJc w:val="right"/>
      <w:pPr>
        <w:ind w:left="4717" w:hanging="180"/>
      </w:pPr>
    </w:lvl>
    <w:lvl w:ilvl="6" w:tplc="DBAAAF16" w:tentative="1">
      <w:start w:val="1"/>
      <w:numFmt w:val="decimal"/>
      <w:lvlText w:val="%7."/>
      <w:lvlJc w:val="left"/>
      <w:pPr>
        <w:ind w:left="5437" w:hanging="360"/>
      </w:pPr>
    </w:lvl>
    <w:lvl w:ilvl="7" w:tplc="5EBEF472" w:tentative="1">
      <w:start w:val="1"/>
      <w:numFmt w:val="lowerLetter"/>
      <w:lvlText w:val="%8."/>
      <w:lvlJc w:val="left"/>
      <w:pPr>
        <w:ind w:left="6157" w:hanging="360"/>
      </w:pPr>
    </w:lvl>
    <w:lvl w:ilvl="8" w:tplc="5EC88BF6" w:tentative="1">
      <w:start w:val="1"/>
      <w:numFmt w:val="lowerRoman"/>
      <w:lvlText w:val="%9."/>
      <w:lvlJc w:val="right"/>
      <w:pPr>
        <w:ind w:left="6877" w:hanging="180"/>
      </w:pPr>
    </w:lvl>
  </w:abstractNum>
  <w:abstractNum w:abstractNumId="4" w15:restartNumberingAfterBreak="0">
    <w:nsid w:val="0C747603"/>
    <w:multiLevelType w:val="multilevel"/>
    <w:tmpl w:val="0AD86EF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eastAsia="Calibri" w:hAnsi="Wingdings" w:cs="Times New Roman"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137067"/>
    <w:multiLevelType w:val="hybridMultilevel"/>
    <w:tmpl w:val="CDC0C55E"/>
    <w:lvl w:ilvl="0" w:tplc="DEDEA7DC">
      <w:start w:val="1"/>
      <w:numFmt w:val="decimal"/>
      <w:lvlText w:val="%1."/>
      <w:lvlJc w:val="left"/>
      <w:pPr>
        <w:ind w:left="675" w:hanging="675"/>
      </w:pPr>
      <w:rPr>
        <w:rFonts w:hint="default"/>
      </w:rPr>
    </w:lvl>
    <w:lvl w:ilvl="1" w:tplc="4782DD58" w:tentative="1">
      <w:start w:val="1"/>
      <w:numFmt w:val="lowerLetter"/>
      <w:lvlText w:val="%2."/>
      <w:lvlJc w:val="left"/>
      <w:pPr>
        <w:ind w:left="1440" w:hanging="360"/>
      </w:pPr>
    </w:lvl>
    <w:lvl w:ilvl="2" w:tplc="1AD48C1A" w:tentative="1">
      <w:start w:val="1"/>
      <w:numFmt w:val="lowerRoman"/>
      <w:lvlText w:val="%3."/>
      <w:lvlJc w:val="right"/>
      <w:pPr>
        <w:ind w:left="2160" w:hanging="180"/>
      </w:pPr>
    </w:lvl>
    <w:lvl w:ilvl="3" w:tplc="453C83A2" w:tentative="1">
      <w:start w:val="1"/>
      <w:numFmt w:val="decimal"/>
      <w:lvlText w:val="%4."/>
      <w:lvlJc w:val="left"/>
      <w:pPr>
        <w:ind w:left="2880" w:hanging="360"/>
      </w:pPr>
    </w:lvl>
    <w:lvl w:ilvl="4" w:tplc="4FBAF100" w:tentative="1">
      <w:start w:val="1"/>
      <w:numFmt w:val="lowerLetter"/>
      <w:lvlText w:val="%5."/>
      <w:lvlJc w:val="left"/>
      <w:pPr>
        <w:ind w:left="3600" w:hanging="360"/>
      </w:pPr>
    </w:lvl>
    <w:lvl w:ilvl="5" w:tplc="489E46B0" w:tentative="1">
      <w:start w:val="1"/>
      <w:numFmt w:val="lowerRoman"/>
      <w:lvlText w:val="%6."/>
      <w:lvlJc w:val="right"/>
      <w:pPr>
        <w:ind w:left="4320" w:hanging="180"/>
      </w:pPr>
    </w:lvl>
    <w:lvl w:ilvl="6" w:tplc="22740858" w:tentative="1">
      <w:start w:val="1"/>
      <w:numFmt w:val="decimal"/>
      <w:lvlText w:val="%7."/>
      <w:lvlJc w:val="left"/>
      <w:pPr>
        <w:ind w:left="5040" w:hanging="360"/>
      </w:pPr>
    </w:lvl>
    <w:lvl w:ilvl="7" w:tplc="963E69E8" w:tentative="1">
      <w:start w:val="1"/>
      <w:numFmt w:val="lowerLetter"/>
      <w:lvlText w:val="%8."/>
      <w:lvlJc w:val="left"/>
      <w:pPr>
        <w:ind w:left="5760" w:hanging="360"/>
      </w:pPr>
    </w:lvl>
    <w:lvl w:ilvl="8" w:tplc="8564CC56" w:tentative="1">
      <w:start w:val="1"/>
      <w:numFmt w:val="lowerRoman"/>
      <w:lvlText w:val="%9."/>
      <w:lvlJc w:val="right"/>
      <w:pPr>
        <w:ind w:left="6480" w:hanging="180"/>
      </w:pPr>
    </w:lvl>
  </w:abstractNum>
  <w:abstractNum w:abstractNumId="6" w15:restartNumberingAfterBreak="0">
    <w:nsid w:val="14687DE2"/>
    <w:multiLevelType w:val="hybridMultilevel"/>
    <w:tmpl w:val="3EC0B00C"/>
    <w:lvl w:ilvl="0" w:tplc="974CCE8A">
      <w:start w:val="1"/>
      <w:numFmt w:val="bullet"/>
      <w:lvlText w:val=""/>
      <w:lvlPicBulletId w:val="0"/>
      <w:lvlJc w:val="left"/>
      <w:pPr>
        <w:ind w:left="2160" w:hanging="360"/>
      </w:pPr>
      <w:rPr>
        <w:rFonts w:ascii="Symbol" w:hAnsi="Symbol" w:hint="default"/>
        <w:color w:val="auto"/>
      </w:rPr>
    </w:lvl>
    <w:lvl w:ilvl="1" w:tplc="288876C4" w:tentative="1">
      <w:start w:val="1"/>
      <w:numFmt w:val="bullet"/>
      <w:lvlText w:val="o"/>
      <w:lvlJc w:val="left"/>
      <w:pPr>
        <w:ind w:left="2880" w:hanging="360"/>
      </w:pPr>
      <w:rPr>
        <w:rFonts w:ascii="Courier New" w:hAnsi="Courier New" w:cs="Courier New" w:hint="default"/>
      </w:rPr>
    </w:lvl>
    <w:lvl w:ilvl="2" w:tplc="CD4A21CE" w:tentative="1">
      <w:start w:val="1"/>
      <w:numFmt w:val="bullet"/>
      <w:lvlText w:val=""/>
      <w:lvlJc w:val="left"/>
      <w:pPr>
        <w:ind w:left="3600" w:hanging="360"/>
      </w:pPr>
      <w:rPr>
        <w:rFonts w:ascii="Wingdings" w:hAnsi="Wingdings" w:hint="default"/>
      </w:rPr>
    </w:lvl>
    <w:lvl w:ilvl="3" w:tplc="3142FCF6" w:tentative="1">
      <w:start w:val="1"/>
      <w:numFmt w:val="bullet"/>
      <w:lvlText w:val=""/>
      <w:lvlJc w:val="left"/>
      <w:pPr>
        <w:ind w:left="4320" w:hanging="360"/>
      </w:pPr>
      <w:rPr>
        <w:rFonts w:ascii="Symbol" w:hAnsi="Symbol" w:hint="default"/>
      </w:rPr>
    </w:lvl>
    <w:lvl w:ilvl="4" w:tplc="FDD8020C" w:tentative="1">
      <w:start w:val="1"/>
      <w:numFmt w:val="bullet"/>
      <w:lvlText w:val="o"/>
      <w:lvlJc w:val="left"/>
      <w:pPr>
        <w:ind w:left="5040" w:hanging="360"/>
      </w:pPr>
      <w:rPr>
        <w:rFonts w:ascii="Courier New" w:hAnsi="Courier New" w:cs="Courier New" w:hint="default"/>
      </w:rPr>
    </w:lvl>
    <w:lvl w:ilvl="5" w:tplc="07F821D0" w:tentative="1">
      <w:start w:val="1"/>
      <w:numFmt w:val="bullet"/>
      <w:lvlText w:val=""/>
      <w:lvlJc w:val="left"/>
      <w:pPr>
        <w:ind w:left="5760" w:hanging="360"/>
      </w:pPr>
      <w:rPr>
        <w:rFonts w:ascii="Wingdings" w:hAnsi="Wingdings" w:hint="default"/>
      </w:rPr>
    </w:lvl>
    <w:lvl w:ilvl="6" w:tplc="8FB8F52A" w:tentative="1">
      <w:start w:val="1"/>
      <w:numFmt w:val="bullet"/>
      <w:lvlText w:val=""/>
      <w:lvlJc w:val="left"/>
      <w:pPr>
        <w:ind w:left="6480" w:hanging="360"/>
      </w:pPr>
      <w:rPr>
        <w:rFonts w:ascii="Symbol" w:hAnsi="Symbol" w:hint="default"/>
      </w:rPr>
    </w:lvl>
    <w:lvl w:ilvl="7" w:tplc="038A1BBA" w:tentative="1">
      <w:start w:val="1"/>
      <w:numFmt w:val="bullet"/>
      <w:lvlText w:val="o"/>
      <w:lvlJc w:val="left"/>
      <w:pPr>
        <w:ind w:left="7200" w:hanging="360"/>
      </w:pPr>
      <w:rPr>
        <w:rFonts w:ascii="Courier New" w:hAnsi="Courier New" w:cs="Courier New" w:hint="default"/>
      </w:rPr>
    </w:lvl>
    <w:lvl w:ilvl="8" w:tplc="F216D73A" w:tentative="1">
      <w:start w:val="1"/>
      <w:numFmt w:val="bullet"/>
      <w:lvlText w:val=""/>
      <w:lvlJc w:val="left"/>
      <w:pPr>
        <w:ind w:left="7920" w:hanging="360"/>
      </w:pPr>
      <w:rPr>
        <w:rFonts w:ascii="Wingdings" w:hAnsi="Wingdings" w:hint="default"/>
      </w:rPr>
    </w:lvl>
  </w:abstractNum>
  <w:abstractNum w:abstractNumId="7" w15:restartNumberingAfterBreak="0">
    <w:nsid w:val="1DA611F9"/>
    <w:multiLevelType w:val="hybridMultilevel"/>
    <w:tmpl w:val="69CC44BA"/>
    <w:lvl w:ilvl="0" w:tplc="45F88F08">
      <w:start w:val="1"/>
      <w:numFmt w:val="decimal"/>
      <w:lvlText w:val="%1."/>
      <w:lvlJc w:val="left"/>
      <w:pPr>
        <w:ind w:left="1571" w:hanging="360"/>
      </w:pPr>
    </w:lvl>
    <w:lvl w:ilvl="1" w:tplc="95E4E0A2" w:tentative="1">
      <w:start w:val="1"/>
      <w:numFmt w:val="lowerLetter"/>
      <w:lvlText w:val="%2."/>
      <w:lvlJc w:val="left"/>
      <w:pPr>
        <w:ind w:left="2291" w:hanging="360"/>
      </w:pPr>
    </w:lvl>
    <w:lvl w:ilvl="2" w:tplc="5FFEE80A" w:tentative="1">
      <w:start w:val="1"/>
      <w:numFmt w:val="lowerRoman"/>
      <w:lvlText w:val="%3."/>
      <w:lvlJc w:val="right"/>
      <w:pPr>
        <w:ind w:left="3011" w:hanging="180"/>
      </w:pPr>
    </w:lvl>
    <w:lvl w:ilvl="3" w:tplc="7E808578" w:tentative="1">
      <w:start w:val="1"/>
      <w:numFmt w:val="decimal"/>
      <w:lvlText w:val="%4."/>
      <w:lvlJc w:val="left"/>
      <w:pPr>
        <w:ind w:left="3731" w:hanging="360"/>
      </w:pPr>
    </w:lvl>
    <w:lvl w:ilvl="4" w:tplc="E97276C0" w:tentative="1">
      <w:start w:val="1"/>
      <w:numFmt w:val="lowerLetter"/>
      <w:lvlText w:val="%5."/>
      <w:lvlJc w:val="left"/>
      <w:pPr>
        <w:ind w:left="4451" w:hanging="360"/>
      </w:pPr>
    </w:lvl>
    <w:lvl w:ilvl="5" w:tplc="4762CB5E" w:tentative="1">
      <w:start w:val="1"/>
      <w:numFmt w:val="lowerRoman"/>
      <w:lvlText w:val="%6."/>
      <w:lvlJc w:val="right"/>
      <w:pPr>
        <w:ind w:left="5171" w:hanging="180"/>
      </w:pPr>
    </w:lvl>
    <w:lvl w:ilvl="6" w:tplc="6FA4624C" w:tentative="1">
      <w:start w:val="1"/>
      <w:numFmt w:val="decimal"/>
      <w:lvlText w:val="%7."/>
      <w:lvlJc w:val="left"/>
      <w:pPr>
        <w:ind w:left="5891" w:hanging="360"/>
      </w:pPr>
    </w:lvl>
    <w:lvl w:ilvl="7" w:tplc="5A9A23D6" w:tentative="1">
      <w:start w:val="1"/>
      <w:numFmt w:val="lowerLetter"/>
      <w:lvlText w:val="%8."/>
      <w:lvlJc w:val="left"/>
      <w:pPr>
        <w:ind w:left="6611" w:hanging="360"/>
      </w:pPr>
    </w:lvl>
    <w:lvl w:ilvl="8" w:tplc="48BA571C" w:tentative="1">
      <w:start w:val="1"/>
      <w:numFmt w:val="lowerRoman"/>
      <w:lvlText w:val="%9."/>
      <w:lvlJc w:val="right"/>
      <w:pPr>
        <w:ind w:left="7331" w:hanging="180"/>
      </w:pPr>
    </w:lvl>
  </w:abstractNum>
  <w:abstractNum w:abstractNumId="8" w15:restartNumberingAfterBreak="0">
    <w:nsid w:val="24C565B6"/>
    <w:multiLevelType w:val="hybridMultilevel"/>
    <w:tmpl w:val="76226E9E"/>
    <w:lvl w:ilvl="0" w:tplc="67385D92">
      <w:start w:val="1"/>
      <w:numFmt w:val="decimal"/>
      <w:lvlText w:val="%1."/>
      <w:lvlJc w:val="left"/>
      <w:pPr>
        <w:ind w:left="675" w:hanging="675"/>
      </w:pPr>
      <w:rPr>
        <w:rFonts w:hint="default"/>
      </w:rPr>
    </w:lvl>
    <w:lvl w:ilvl="1" w:tplc="178E0020" w:tentative="1">
      <w:start w:val="1"/>
      <w:numFmt w:val="lowerLetter"/>
      <w:lvlText w:val="%2."/>
      <w:lvlJc w:val="left"/>
      <w:pPr>
        <w:ind w:left="1080" w:hanging="360"/>
      </w:pPr>
    </w:lvl>
    <w:lvl w:ilvl="2" w:tplc="3A900D20" w:tentative="1">
      <w:start w:val="1"/>
      <w:numFmt w:val="lowerRoman"/>
      <w:lvlText w:val="%3."/>
      <w:lvlJc w:val="right"/>
      <w:pPr>
        <w:ind w:left="1800" w:hanging="180"/>
      </w:pPr>
    </w:lvl>
    <w:lvl w:ilvl="3" w:tplc="C650A38C" w:tentative="1">
      <w:start w:val="1"/>
      <w:numFmt w:val="decimal"/>
      <w:lvlText w:val="%4."/>
      <w:lvlJc w:val="left"/>
      <w:pPr>
        <w:ind w:left="2520" w:hanging="360"/>
      </w:pPr>
    </w:lvl>
    <w:lvl w:ilvl="4" w:tplc="CA0E090E" w:tentative="1">
      <w:start w:val="1"/>
      <w:numFmt w:val="lowerLetter"/>
      <w:lvlText w:val="%5."/>
      <w:lvlJc w:val="left"/>
      <w:pPr>
        <w:ind w:left="3240" w:hanging="360"/>
      </w:pPr>
    </w:lvl>
    <w:lvl w:ilvl="5" w:tplc="972E3AF2" w:tentative="1">
      <w:start w:val="1"/>
      <w:numFmt w:val="lowerRoman"/>
      <w:lvlText w:val="%6."/>
      <w:lvlJc w:val="right"/>
      <w:pPr>
        <w:ind w:left="3960" w:hanging="180"/>
      </w:pPr>
    </w:lvl>
    <w:lvl w:ilvl="6" w:tplc="C5A85C5C" w:tentative="1">
      <w:start w:val="1"/>
      <w:numFmt w:val="decimal"/>
      <w:lvlText w:val="%7."/>
      <w:lvlJc w:val="left"/>
      <w:pPr>
        <w:ind w:left="4680" w:hanging="360"/>
      </w:pPr>
    </w:lvl>
    <w:lvl w:ilvl="7" w:tplc="8846489A" w:tentative="1">
      <w:start w:val="1"/>
      <w:numFmt w:val="lowerLetter"/>
      <w:lvlText w:val="%8."/>
      <w:lvlJc w:val="left"/>
      <w:pPr>
        <w:ind w:left="5400" w:hanging="360"/>
      </w:pPr>
    </w:lvl>
    <w:lvl w:ilvl="8" w:tplc="CD0A88CA" w:tentative="1">
      <w:start w:val="1"/>
      <w:numFmt w:val="lowerRoman"/>
      <w:lvlText w:val="%9."/>
      <w:lvlJc w:val="right"/>
      <w:pPr>
        <w:ind w:left="6120" w:hanging="180"/>
      </w:pPr>
    </w:lvl>
  </w:abstractNum>
  <w:abstractNum w:abstractNumId="9" w15:restartNumberingAfterBreak="0">
    <w:nsid w:val="271E6370"/>
    <w:multiLevelType w:val="hybridMultilevel"/>
    <w:tmpl w:val="60AABE10"/>
    <w:lvl w:ilvl="0" w:tplc="2A06B2E4">
      <w:start w:val="1"/>
      <w:numFmt w:val="decimal"/>
      <w:lvlText w:val="%1."/>
      <w:lvlJc w:val="left"/>
      <w:pPr>
        <w:ind w:left="786" w:hanging="360"/>
      </w:pPr>
      <w:rPr>
        <w:rFonts w:hint="default"/>
      </w:rPr>
    </w:lvl>
    <w:lvl w:ilvl="1" w:tplc="79FE8508" w:tentative="1">
      <w:start w:val="1"/>
      <w:numFmt w:val="lowerLetter"/>
      <w:lvlText w:val="%2."/>
      <w:lvlJc w:val="left"/>
      <w:pPr>
        <w:ind w:left="1506" w:hanging="360"/>
      </w:pPr>
    </w:lvl>
    <w:lvl w:ilvl="2" w:tplc="F0327108" w:tentative="1">
      <w:start w:val="1"/>
      <w:numFmt w:val="lowerRoman"/>
      <w:lvlText w:val="%3."/>
      <w:lvlJc w:val="right"/>
      <w:pPr>
        <w:ind w:left="2226" w:hanging="180"/>
      </w:pPr>
    </w:lvl>
    <w:lvl w:ilvl="3" w:tplc="D180C088" w:tentative="1">
      <w:start w:val="1"/>
      <w:numFmt w:val="decimal"/>
      <w:lvlText w:val="%4."/>
      <w:lvlJc w:val="left"/>
      <w:pPr>
        <w:ind w:left="2946" w:hanging="360"/>
      </w:pPr>
    </w:lvl>
    <w:lvl w:ilvl="4" w:tplc="A32A0EEC" w:tentative="1">
      <w:start w:val="1"/>
      <w:numFmt w:val="lowerLetter"/>
      <w:lvlText w:val="%5."/>
      <w:lvlJc w:val="left"/>
      <w:pPr>
        <w:ind w:left="3666" w:hanging="360"/>
      </w:pPr>
    </w:lvl>
    <w:lvl w:ilvl="5" w:tplc="ED1AA384" w:tentative="1">
      <w:start w:val="1"/>
      <w:numFmt w:val="lowerRoman"/>
      <w:lvlText w:val="%6."/>
      <w:lvlJc w:val="right"/>
      <w:pPr>
        <w:ind w:left="4386" w:hanging="180"/>
      </w:pPr>
    </w:lvl>
    <w:lvl w:ilvl="6" w:tplc="722EEA86" w:tentative="1">
      <w:start w:val="1"/>
      <w:numFmt w:val="decimal"/>
      <w:lvlText w:val="%7."/>
      <w:lvlJc w:val="left"/>
      <w:pPr>
        <w:ind w:left="5106" w:hanging="360"/>
      </w:pPr>
    </w:lvl>
    <w:lvl w:ilvl="7" w:tplc="A408734E" w:tentative="1">
      <w:start w:val="1"/>
      <w:numFmt w:val="lowerLetter"/>
      <w:lvlText w:val="%8."/>
      <w:lvlJc w:val="left"/>
      <w:pPr>
        <w:ind w:left="5826" w:hanging="360"/>
      </w:pPr>
    </w:lvl>
    <w:lvl w:ilvl="8" w:tplc="E9C012C6" w:tentative="1">
      <w:start w:val="1"/>
      <w:numFmt w:val="lowerRoman"/>
      <w:lvlText w:val="%9."/>
      <w:lvlJc w:val="right"/>
      <w:pPr>
        <w:ind w:left="6546" w:hanging="180"/>
      </w:pPr>
    </w:lvl>
  </w:abstractNum>
  <w:abstractNum w:abstractNumId="10" w15:restartNumberingAfterBreak="0">
    <w:nsid w:val="278D1041"/>
    <w:multiLevelType w:val="hybridMultilevel"/>
    <w:tmpl w:val="7E200392"/>
    <w:lvl w:ilvl="0" w:tplc="7E8AE278">
      <w:start w:val="1"/>
      <w:numFmt w:val="lowerLetter"/>
      <w:lvlText w:val="%1."/>
      <w:lvlJc w:val="left"/>
      <w:pPr>
        <w:ind w:left="1056" w:hanging="630"/>
      </w:pPr>
      <w:rPr>
        <w:rFonts w:hint="default"/>
      </w:rPr>
    </w:lvl>
    <w:lvl w:ilvl="1" w:tplc="95B60570" w:tentative="1">
      <w:start w:val="1"/>
      <w:numFmt w:val="lowerLetter"/>
      <w:lvlText w:val="%2."/>
      <w:lvlJc w:val="left"/>
      <w:pPr>
        <w:ind w:left="1506" w:hanging="360"/>
      </w:pPr>
    </w:lvl>
    <w:lvl w:ilvl="2" w:tplc="F176FE2E" w:tentative="1">
      <w:start w:val="1"/>
      <w:numFmt w:val="lowerRoman"/>
      <w:lvlText w:val="%3."/>
      <w:lvlJc w:val="right"/>
      <w:pPr>
        <w:ind w:left="2226" w:hanging="180"/>
      </w:pPr>
    </w:lvl>
    <w:lvl w:ilvl="3" w:tplc="EA6CE760" w:tentative="1">
      <w:start w:val="1"/>
      <w:numFmt w:val="decimal"/>
      <w:lvlText w:val="%4."/>
      <w:lvlJc w:val="left"/>
      <w:pPr>
        <w:ind w:left="2946" w:hanging="360"/>
      </w:pPr>
    </w:lvl>
    <w:lvl w:ilvl="4" w:tplc="0E2AB75E" w:tentative="1">
      <w:start w:val="1"/>
      <w:numFmt w:val="lowerLetter"/>
      <w:lvlText w:val="%5."/>
      <w:lvlJc w:val="left"/>
      <w:pPr>
        <w:ind w:left="3666" w:hanging="360"/>
      </w:pPr>
    </w:lvl>
    <w:lvl w:ilvl="5" w:tplc="26388146" w:tentative="1">
      <w:start w:val="1"/>
      <w:numFmt w:val="lowerRoman"/>
      <w:lvlText w:val="%6."/>
      <w:lvlJc w:val="right"/>
      <w:pPr>
        <w:ind w:left="4386" w:hanging="180"/>
      </w:pPr>
    </w:lvl>
    <w:lvl w:ilvl="6" w:tplc="C88C3062" w:tentative="1">
      <w:start w:val="1"/>
      <w:numFmt w:val="decimal"/>
      <w:lvlText w:val="%7."/>
      <w:lvlJc w:val="left"/>
      <w:pPr>
        <w:ind w:left="5106" w:hanging="360"/>
      </w:pPr>
    </w:lvl>
    <w:lvl w:ilvl="7" w:tplc="9994419E" w:tentative="1">
      <w:start w:val="1"/>
      <w:numFmt w:val="lowerLetter"/>
      <w:lvlText w:val="%8."/>
      <w:lvlJc w:val="left"/>
      <w:pPr>
        <w:ind w:left="5826" w:hanging="360"/>
      </w:pPr>
    </w:lvl>
    <w:lvl w:ilvl="8" w:tplc="C5D878C4" w:tentative="1">
      <w:start w:val="1"/>
      <w:numFmt w:val="lowerRoman"/>
      <w:lvlText w:val="%9."/>
      <w:lvlJc w:val="right"/>
      <w:pPr>
        <w:ind w:left="6546" w:hanging="180"/>
      </w:pPr>
    </w:lvl>
  </w:abstractNum>
  <w:abstractNum w:abstractNumId="11" w15:restartNumberingAfterBreak="0">
    <w:nsid w:val="304D3845"/>
    <w:multiLevelType w:val="hybridMultilevel"/>
    <w:tmpl w:val="E07EF082"/>
    <w:lvl w:ilvl="0" w:tplc="74CAF636">
      <w:start w:val="1"/>
      <w:numFmt w:val="decimal"/>
      <w:lvlText w:val="%1."/>
      <w:lvlJc w:val="left"/>
      <w:pPr>
        <w:ind w:left="720" w:hanging="360"/>
      </w:pPr>
      <w:rPr>
        <w:rFonts w:hint="default"/>
      </w:rPr>
    </w:lvl>
    <w:lvl w:ilvl="1" w:tplc="2C9481A0" w:tentative="1">
      <w:start w:val="1"/>
      <w:numFmt w:val="lowerLetter"/>
      <w:lvlText w:val="%2."/>
      <w:lvlJc w:val="left"/>
      <w:pPr>
        <w:ind w:left="1440" w:hanging="360"/>
      </w:pPr>
    </w:lvl>
    <w:lvl w:ilvl="2" w:tplc="53369C0C" w:tentative="1">
      <w:start w:val="1"/>
      <w:numFmt w:val="lowerRoman"/>
      <w:lvlText w:val="%3."/>
      <w:lvlJc w:val="right"/>
      <w:pPr>
        <w:ind w:left="2160" w:hanging="180"/>
      </w:pPr>
    </w:lvl>
    <w:lvl w:ilvl="3" w:tplc="18DE70CA" w:tentative="1">
      <w:start w:val="1"/>
      <w:numFmt w:val="decimal"/>
      <w:lvlText w:val="%4."/>
      <w:lvlJc w:val="left"/>
      <w:pPr>
        <w:ind w:left="2880" w:hanging="360"/>
      </w:pPr>
    </w:lvl>
    <w:lvl w:ilvl="4" w:tplc="7AF69ADE" w:tentative="1">
      <w:start w:val="1"/>
      <w:numFmt w:val="lowerLetter"/>
      <w:lvlText w:val="%5."/>
      <w:lvlJc w:val="left"/>
      <w:pPr>
        <w:ind w:left="3600" w:hanging="360"/>
      </w:pPr>
    </w:lvl>
    <w:lvl w:ilvl="5" w:tplc="DEC26ADE" w:tentative="1">
      <w:start w:val="1"/>
      <w:numFmt w:val="lowerRoman"/>
      <w:lvlText w:val="%6."/>
      <w:lvlJc w:val="right"/>
      <w:pPr>
        <w:ind w:left="4320" w:hanging="180"/>
      </w:pPr>
    </w:lvl>
    <w:lvl w:ilvl="6" w:tplc="35B021AA" w:tentative="1">
      <w:start w:val="1"/>
      <w:numFmt w:val="decimal"/>
      <w:lvlText w:val="%7."/>
      <w:lvlJc w:val="left"/>
      <w:pPr>
        <w:ind w:left="5040" w:hanging="360"/>
      </w:pPr>
    </w:lvl>
    <w:lvl w:ilvl="7" w:tplc="F062634E" w:tentative="1">
      <w:start w:val="1"/>
      <w:numFmt w:val="lowerLetter"/>
      <w:lvlText w:val="%8."/>
      <w:lvlJc w:val="left"/>
      <w:pPr>
        <w:ind w:left="5760" w:hanging="360"/>
      </w:pPr>
    </w:lvl>
    <w:lvl w:ilvl="8" w:tplc="1DDA7BBC" w:tentative="1">
      <w:start w:val="1"/>
      <w:numFmt w:val="lowerRoman"/>
      <w:lvlText w:val="%9."/>
      <w:lvlJc w:val="right"/>
      <w:pPr>
        <w:ind w:left="6480" w:hanging="180"/>
      </w:pPr>
    </w:lvl>
  </w:abstractNum>
  <w:abstractNum w:abstractNumId="12" w15:restartNumberingAfterBreak="0">
    <w:nsid w:val="33D946A8"/>
    <w:multiLevelType w:val="hybridMultilevel"/>
    <w:tmpl w:val="94B0CD68"/>
    <w:lvl w:ilvl="0" w:tplc="559CB3C0">
      <w:start w:val="1"/>
      <w:numFmt w:val="lowerLetter"/>
      <w:lvlText w:val="%1."/>
      <w:lvlJc w:val="left"/>
      <w:pPr>
        <w:ind w:left="786" w:hanging="360"/>
      </w:pPr>
      <w:rPr>
        <w:rFonts w:hint="default"/>
      </w:rPr>
    </w:lvl>
    <w:lvl w:ilvl="1" w:tplc="43F2FBC6" w:tentative="1">
      <w:start w:val="1"/>
      <w:numFmt w:val="lowerLetter"/>
      <w:lvlText w:val="%2."/>
      <w:lvlJc w:val="left"/>
      <w:pPr>
        <w:ind w:left="1506" w:hanging="360"/>
      </w:pPr>
    </w:lvl>
    <w:lvl w:ilvl="2" w:tplc="9038377E" w:tentative="1">
      <w:start w:val="1"/>
      <w:numFmt w:val="lowerRoman"/>
      <w:lvlText w:val="%3."/>
      <w:lvlJc w:val="right"/>
      <w:pPr>
        <w:ind w:left="2226" w:hanging="180"/>
      </w:pPr>
    </w:lvl>
    <w:lvl w:ilvl="3" w:tplc="3392B9DE" w:tentative="1">
      <w:start w:val="1"/>
      <w:numFmt w:val="decimal"/>
      <w:lvlText w:val="%4."/>
      <w:lvlJc w:val="left"/>
      <w:pPr>
        <w:ind w:left="2946" w:hanging="360"/>
      </w:pPr>
    </w:lvl>
    <w:lvl w:ilvl="4" w:tplc="287A207A" w:tentative="1">
      <w:start w:val="1"/>
      <w:numFmt w:val="lowerLetter"/>
      <w:lvlText w:val="%5."/>
      <w:lvlJc w:val="left"/>
      <w:pPr>
        <w:ind w:left="3666" w:hanging="360"/>
      </w:pPr>
    </w:lvl>
    <w:lvl w:ilvl="5" w:tplc="5F5485F4" w:tentative="1">
      <w:start w:val="1"/>
      <w:numFmt w:val="lowerRoman"/>
      <w:lvlText w:val="%6."/>
      <w:lvlJc w:val="right"/>
      <w:pPr>
        <w:ind w:left="4386" w:hanging="180"/>
      </w:pPr>
    </w:lvl>
    <w:lvl w:ilvl="6" w:tplc="73864B60" w:tentative="1">
      <w:start w:val="1"/>
      <w:numFmt w:val="decimal"/>
      <w:lvlText w:val="%7."/>
      <w:lvlJc w:val="left"/>
      <w:pPr>
        <w:ind w:left="5106" w:hanging="360"/>
      </w:pPr>
    </w:lvl>
    <w:lvl w:ilvl="7" w:tplc="FA70215A" w:tentative="1">
      <w:start w:val="1"/>
      <w:numFmt w:val="lowerLetter"/>
      <w:lvlText w:val="%8."/>
      <w:lvlJc w:val="left"/>
      <w:pPr>
        <w:ind w:left="5826" w:hanging="360"/>
      </w:pPr>
    </w:lvl>
    <w:lvl w:ilvl="8" w:tplc="C796776E" w:tentative="1">
      <w:start w:val="1"/>
      <w:numFmt w:val="lowerRoman"/>
      <w:lvlText w:val="%9."/>
      <w:lvlJc w:val="right"/>
      <w:pPr>
        <w:ind w:left="6546" w:hanging="180"/>
      </w:pPr>
    </w:lvl>
  </w:abstractNum>
  <w:abstractNum w:abstractNumId="13" w15:restartNumberingAfterBreak="0">
    <w:nsid w:val="3ABA34B8"/>
    <w:multiLevelType w:val="hybridMultilevel"/>
    <w:tmpl w:val="21229E52"/>
    <w:lvl w:ilvl="0" w:tplc="2090A9E6">
      <w:start w:val="1"/>
      <w:numFmt w:val="decimal"/>
      <w:lvlText w:val="3.%1"/>
      <w:lvlJc w:val="left"/>
      <w:pPr>
        <w:ind w:left="360" w:hanging="360"/>
      </w:pPr>
      <w:rPr>
        <w:rFonts w:hint="default"/>
      </w:rPr>
    </w:lvl>
    <w:lvl w:ilvl="1" w:tplc="46547EB2">
      <w:start w:val="1"/>
      <w:numFmt w:val="lowerLetter"/>
      <w:lvlText w:val="%2."/>
      <w:lvlJc w:val="left"/>
      <w:pPr>
        <w:ind w:left="1905" w:hanging="825"/>
      </w:pPr>
      <w:rPr>
        <w:rFonts w:hint="default"/>
      </w:rPr>
    </w:lvl>
    <w:lvl w:ilvl="2" w:tplc="1034FE14">
      <w:start w:val="1"/>
      <w:numFmt w:val="decimal"/>
      <w:lvlText w:val="%3."/>
      <w:lvlJc w:val="left"/>
      <w:pPr>
        <w:ind w:left="2340" w:hanging="360"/>
      </w:pPr>
      <w:rPr>
        <w:rFonts w:hint="default"/>
      </w:rPr>
    </w:lvl>
    <w:lvl w:ilvl="3" w:tplc="D52A422A" w:tentative="1">
      <w:start w:val="1"/>
      <w:numFmt w:val="decimal"/>
      <w:lvlText w:val="%4."/>
      <w:lvlJc w:val="left"/>
      <w:pPr>
        <w:ind w:left="2880" w:hanging="360"/>
      </w:pPr>
    </w:lvl>
    <w:lvl w:ilvl="4" w:tplc="97924658" w:tentative="1">
      <w:start w:val="1"/>
      <w:numFmt w:val="lowerLetter"/>
      <w:lvlText w:val="%5."/>
      <w:lvlJc w:val="left"/>
      <w:pPr>
        <w:ind w:left="3600" w:hanging="360"/>
      </w:pPr>
    </w:lvl>
    <w:lvl w:ilvl="5" w:tplc="0F7E9DF2" w:tentative="1">
      <w:start w:val="1"/>
      <w:numFmt w:val="lowerRoman"/>
      <w:lvlText w:val="%6."/>
      <w:lvlJc w:val="right"/>
      <w:pPr>
        <w:ind w:left="4320" w:hanging="180"/>
      </w:pPr>
    </w:lvl>
    <w:lvl w:ilvl="6" w:tplc="B3FE8F14" w:tentative="1">
      <w:start w:val="1"/>
      <w:numFmt w:val="decimal"/>
      <w:lvlText w:val="%7."/>
      <w:lvlJc w:val="left"/>
      <w:pPr>
        <w:ind w:left="5040" w:hanging="360"/>
      </w:pPr>
    </w:lvl>
    <w:lvl w:ilvl="7" w:tplc="74B6C87A" w:tentative="1">
      <w:start w:val="1"/>
      <w:numFmt w:val="lowerLetter"/>
      <w:lvlText w:val="%8."/>
      <w:lvlJc w:val="left"/>
      <w:pPr>
        <w:ind w:left="5760" w:hanging="360"/>
      </w:pPr>
    </w:lvl>
    <w:lvl w:ilvl="8" w:tplc="7F1A69D2" w:tentative="1">
      <w:start w:val="1"/>
      <w:numFmt w:val="lowerRoman"/>
      <w:lvlText w:val="%9."/>
      <w:lvlJc w:val="right"/>
      <w:pPr>
        <w:ind w:left="6480" w:hanging="180"/>
      </w:pPr>
    </w:lvl>
  </w:abstractNum>
  <w:abstractNum w:abstractNumId="14" w15:restartNumberingAfterBreak="0">
    <w:nsid w:val="3AEC2883"/>
    <w:multiLevelType w:val="hybridMultilevel"/>
    <w:tmpl w:val="EFE261F6"/>
    <w:lvl w:ilvl="0" w:tplc="F918A1EA">
      <w:start w:val="1"/>
      <w:numFmt w:val="decimal"/>
      <w:lvlText w:val="%1."/>
      <w:lvlJc w:val="left"/>
      <w:pPr>
        <w:ind w:left="720" w:hanging="360"/>
      </w:pPr>
      <w:rPr>
        <w:rFonts w:hint="default"/>
      </w:rPr>
    </w:lvl>
    <w:lvl w:ilvl="1" w:tplc="21869E04" w:tentative="1">
      <w:start w:val="1"/>
      <w:numFmt w:val="lowerLetter"/>
      <w:lvlText w:val="%2."/>
      <w:lvlJc w:val="left"/>
      <w:pPr>
        <w:ind w:left="1440" w:hanging="360"/>
      </w:pPr>
    </w:lvl>
    <w:lvl w:ilvl="2" w:tplc="7E32CC26" w:tentative="1">
      <w:start w:val="1"/>
      <w:numFmt w:val="lowerRoman"/>
      <w:lvlText w:val="%3."/>
      <w:lvlJc w:val="right"/>
      <w:pPr>
        <w:ind w:left="2160" w:hanging="180"/>
      </w:pPr>
    </w:lvl>
    <w:lvl w:ilvl="3" w:tplc="61380F96" w:tentative="1">
      <w:start w:val="1"/>
      <w:numFmt w:val="decimal"/>
      <w:lvlText w:val="%4."/>
      <w:lvlJc w:val="left"/>
      <w:pPr>
        <w:ind w:left="2880" w:hanging="360"/>
      </w:pPr>
    </w:lvl>
    <w:lvl w:ilvl="4" w:tplc="4EB27384" w:tentative="1">
      <w:start w:val="1"/>
      <w:numFmt w:val="lowerLetter"/>
      <w:lvlText w:val="%5."/>
      <w:lvlJc w:val="left"/>
      <w:pPr>
        <w:ind w:left="3600" w:hanging="360"/>
      </w:pPr>
    </w:lvl>
    <w:lvl w:ilvl="5" w:tplc="23086434" w:tentative="1">
      <w:start w:val="1"/>
      <w:numFmt w:val="lowerRoman"/>
      <w:lvlText w:val="%6."/>
      <w:lvlJc w:val="right"/>
      <w:pPr>
        <w:ind w:left="4320" w:hanging="180"/>
      </w:pPr>
    </w:lvl>
    <w:lvl w:ilvl="6" w:tplc="A7EC97C2" w:tentative="1">
      <w:start w:val="1"/>
      <w:numFmt w:val="decimal"/>
      <w:lvlText w:val="%7."/>
      <w:lvlJc w:val="left"/>
      <w:pPr>
        <w:ind w:left="5040" w:hanging="360"/>
      </w:pPr>
    </w:lvl>
    <w:lvl w:ilvl="7" w:tplc="6A5257A2" w:tentative="1">
      <w:start w:val="1"/>
      <w:numFmt w:val="lowerLetter"/>
      <w:lvlText w:val="%8."/>
      <w:lvlJc w:val="left"/>
      <w:pPr>
        <w:ind w:left="5760" w:hanging="360"/>
      </w:pPr>
    </w:lvl>
    <w:lvl w:ilvl="8" w:tplc="7B68B0BC" w:tentative="1">
      <w:start w:val="1"/>
      <w:numFmt w:val="lowerRoman"/>
      <w:lvlText w:val="%9."/>
      <w:lvlJc w:val="right"/>
      <w:pPr>
        <w:ind w:left="6480" w:hanging="180"/>
      </w:pPr>
    </w:lvl>
  </w:abstractNum>
  <w:abstractNum w:abstractNumId="15" w15:restartNumberingAfterBreak="0">
    <w:nsid w:val="44E83966"/>
    <w:multiLevelType w:val="hybridMultilevel"/>
    <w:tmpl w:val="32344ACE"/>
    <w:lvl w:ilvl="0" w:tplc="8A7AE892">
      <w:start w:val="1"/>
      <w:numFmt w:val="decimal"/>
      <w:lvlText w:val="%1."/>
      <w:lvlJc w:val="left"/>
      <w:pPr>
        <w:ind w:left="757" w:hanging="360"/>
      </w:pPr>
      <w:rPr>
        <w:rFonts w:hint="default"/>
      </w:rPr>
    </w:lvl>
    <w:lvl w:ilvl="1" w:tplc="E8DE3B68" w:tentative="1">
      <w:start w:val="1"/>
      <w:numFmt w:val="lowerLetter"/>
      <w:lvlText w:val="%2."/>
      <w:lvlJc w:val="left"/>
      <w:pPr>
        <w:ind w:left="1477" w:hanging="360"/>
      </w:pPr>
    </w:lvl>
    <w:lvl w:ilvl="2" w:tplc="8D8A5564" w:tentative="1">
      <w:start w:val="1"/>
      <w:numFmt w:val="lowerRoman"/>
      <w:lvlText w:val="%3."/>
      <w:lvlJc w:val="right"/>
      <w:pPr>
        <w:ind w:left="2197" w:hanging="180"/>
      </w:pPr>
    </w:lvl>
    <w:lvl w:ilvl="3" w:tplc="65723156" w:tentative="1">
      <w:start w:val="1"/>
      <w:numFmt w:val="decimal"/>
      <w:lvlText w:val="%4."/>
      <w:lvlJc w:val="left"/>
      <w:pPr>
        <w:ind w:left="2917" w:hanging="360"/>
      </w:pPr>
    </w:lvl>
    <w:lvl w:ilvl="4" w:tplc="070237EC" w:tentative="1">
      <w:start w:val="1"/>
      <w:numFmt w:val="lowerLetter"/>
      <w:lvlText w:val="%5."/>
      <w:lvlJc w:val="left"/>
      <w:pPr>
        <w:ind w:left="3637" w:hanging="360"/>
      </w:pPr>
    </w:lvl>
    <w:lvl w:ilvl="5" w:tplc="B7745928" w:tentative="1">
      <w:start w:val="1"/>
      <w:numFmt w:val="lowerRoman"/>
      <w:lvlText w:val="%6."/>
      <w:lvlJc w:val="right"/>
      <w:pPr>
        <w:ind w:left="4357" w:hanging="180"/>
      </w:pPr>
    </w:lvl>
    <w:lvl w:ilvl="6" w:tplc="B6EC1490" w:tentative="1">
      <w:start w:val="1"/>
      <w:numFmt w:val="decimal"/>
      <w:lvlText w:val="%7."/>
      <w:lvlJc w:val="left"/>
      <w:pPr>
        <w:ind w:left="5077" w:hanging="360"/>
      </w:pPr>
    </w:lvl>
    <w:lvl w:ilvl="7" w:tplc="38626EDE" w:tentative="1">
      <w:start w:val="1"/>
      <w:numFmt w:val="lowerLetter"/>
      <w:lvlText w:val="%8."/>
      <w:lvlJc w:val="left"/>
      <w:pPr>
        <w:ind w:left="5797" w:hanging="360"/>
      </w:pPr>
    </w:lvl>
    <w:lvl w:ilvl="8" w:tplc="BA642F46" w:tentative="1">
      <w:start w:val="1"/>
      <w:numFmt w:val="lowerRoman"/>
      <w:lvlText w:val="%9."/>
      <w:lvlJc w:val="right"/>
      <w:pPr>
        <w:ind w:left="6517" w:hanging="180"/>
      </w:pPr>
    </w:lvl>
  </w:abstractNum>
  <w:abstractNum w:abstractNumId="16" w15:restartNumberingAfterBreak="0">
    <w:nsid w:val="49046850"/>
    <w:multiLevelType w:val="multilevel"/>
    <w:tmpl w:val="218C3D0C"/>
    <w:lvl w:ilvl="0">
      <w:start w:val="2"/>
      <w:numFmt w:val="decimal"/>
      <w:lvlText w:val="%1"/>
      <w:lvlJc w:val="left"/>
      <w:pPr>
        <w:ind w:left="660" w:hanging="660"/>
      </w:pPr>
      <w:rPr>
        <w:rFonts w:hint="default"/>
        <w:i/>
      </w:rPr>
    </w:lvl>
    <w:lvl w:ilvl="1">
      <w:start w:val="1"/>
      <w:numFmt w:val="decimal"/>
      <w:lvlText w:val="%1.%2"/>
      <w:lvlJc w:val="left"/>
      <w:pPr>
        <w:ind w:left="660" w:hanging="660"/>
      </w:pPr>
      <w:rPr>
        <w:rFonts w:hint="default"/>
        <w:i/>
      </w:rPr>
    </w:lvl>
    <w:lvl w:ilvl="2">
      <w:start w:val="2"/>
      <w:numFmt w:val="decimal"/>
      <w:lvlText w:val="%1.%2.%3"/>
      <w:lvlJc w:val="left"/>
      <w:pPr>
        <w:ind w:left="720" w:hanging="720"/>
      </w:pPr>
      <w:rPr>
        <w:rFonts w:hint="default"/>
        <w:i/>
      </w:rPr>
    </w:lvl>
    <w:lvl w:ilvl="3">
      <w:start w:val="3"/>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7" w15:restartNumberingAfterBreak="0">
    <w:nsid w:val="4C023E24"/>
    <w:multiLevelType w:val="hybridMultilevel"/>
    <w:tmpl w:val="BABC6BFA"/>
    <w:lvl w:ilvl="0" w:tplc="D7FA320C">
      <w:start w:val="1"/>
      <w:numFmt w:val="decimal"/>
      <w:lvlText w:val="%1."/>
      <w:lvlJc w:val="left"/>
      <w:pPr>
        <w:ind w:left="1069" w:hanging="360"/>
      </w:pPr>
      <w:rPr>
        <w:rFonts w:hint="default"/>
      </w:rPr>
    </w:lvl>
    <w:lvl w:ilvl="1" w:tplc="7F267AC0" w:tentative="1">
      <w:start w:val="1"/>
      <w:numFmt w:val="lowerLetter"/>
      <w:lvlText w:val="%2."/>
      <w:lvlJc w:val="left"/>
      <w:pPr>
        <w:ind w:left="1789" w:hanging="360"/>
      </w:pPr>
    </w:lvl>
    <w:lvl w:ilvl="2" w:tplc="80AA8F6E" w:tentative="1">
      <w:start w:val="1"/>
      <w:numFmt w:val="lowerRoman"/>
      <w:lvlText w:val="%3."/>
      <w:lvlJc w:val="right"/>
      <w:pPr>
        <w:ind w:left="2509" w:hanging="180"/>
      </w:pPr>
    </w:lvl>
    <w:lvl w:ilvl="3" w:tplc="E5741140" w:tentative="1">
      <w:start w:val="1"/>
      <w:numFmt w:val="decimal"/>
      <w:lvlText w:val="%4."/>
      <w:lvlJc w:val="left"/>
      <w:pPr>
        <w:ind w:left="3229" w:hanging="360"/>
      </w:pPr>
    </w:lvl>
    <w:lvl w:ilvl="4" w:tplc="14681BA8" w:tentative="1">
      <w:start w:val="1"/>
      <w:numFmt w:val="lowerLetter"/>
      <w:lvlText w:val="%5."/>
      <w:lvlJc w:val="left"/>
      <w:pPr>
        <w:ind w:left="3949" w:hanging="360"/>
      </w:pPr>
    </w:lvl>
    <w:lvl w:ilvl="5" w:tplc="64463092" w:tentative="1">
      <w:start w:val="1"/>
      <w:numFmt w:val="lowerRoman"/>
      <w:lvlText w:val="%6."/>
      <w:lvlJc w:val="right"/>
      <w:pPr>
        <w:ind w:left="4669" w:hanging="180"/>
      </w:pPr>
    </w:lvl>
    <w:lvl w:ilvl="6" w:tplc="ADA0538A" w:tentative="1">
      <w:start w:val="1"/>
      <w:numFmt w:val="decimal"/>
      <w:lvlText w:val="%7."/>
      <w:lvlJc w:val="left"/>
      <w:pPr>
        <w:ind w:left="5389" w:hanging="360"/>
      </w:pPr>
    </w:lvl>
    <w:lvl w:ilvl="7" w:tplc="4008C65C" w:tentative="1">
      <w:start w:val="1"/>
      <w:numFmt w:val="lowerLetter"/>
      <w:lvlText w:val="%8."/>
      <w:lvlJc w:val="left"/>
      <w:pPr>
        <w:ind w:left="6109" w:hanging="360"/>
      </w:pPr>
    </w:lvl>
    <w:lvl w:ilvl="8" w:tplc="5AEEDC60" w:tentative="1">
      <w:start w:val="1"/>
      <w:numFmt w:val="lowerRoman"/>
      <w:lvlText w:val="%9."/>
      <w:lvlJc w:val="right"/>
      <w:pPr>
        <w:ind w:left="6829" w:hanging="180"/>
      </w:pPr>
    </w:lvl>
  </w:abstractNum>
  <w:abstractNum w:abstractNumId="18" w15:restartNumberingAfterBreak="0">
    <w:nsid w:val="5C1E369A"/>
    <w:multiLevelType w:val="multilevel"/>
    <w:tmpl w:val="0060D56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08A50DC"/>
    <w:multiLevelType w:val="hybridMultilevel"/>
    <w:tmpl w:val="B254BD9C"/>
    <w:lvl w:ilvl="0" w:tplc="00CAB4EE">
      <w:start w:val="1"/>
      <w:numFmt w:val="decimal"/>
      <w:lvlText w:val="%1."/>
      <w:lvlJc w:val="left"/>
      <w:pPr>
        <w:ind w:left="720" w:hanging="360"/>
      </w:pPr>
      <w:rPr>
        <w:rFonts w:hint="default"/>
      </w:rPr>
    </w:lvl>
    <w:lvl w:ilvl="1" w:tplc="910C1AC4" w:tentative="1">
      <w:start w:val="1"/>
      <w:numFmt w:val="lowerLetter"/>
      <w:lvlText w:val="%2."/>
      <w:lvlJc w:val="left"/>
      <w:pPr>
        <w:ind w:left="1440" w:hanging="360"/>
      </w:pPr>
    </w:lvl>
    <w:lvl w:ilvl="2" w:tplc="11BEF59E" w:tentative="1">
      <w:start w:val="1"/>
      <w:numFmt w:val="lowerRoman"/>
      <w:lvlText w:val="%3."/>
      <w:lvlJc w:val="right"/>
      <w:pPr>
        <w:ind w:left="2160" w:hanging="180"/>
      </w:pPr>
    </w:lvl>
    <w:lvl w:ilvl="3" w:tplc="4336E2D0" w:tentative="1">
      <w:start w:val="1"/>
      <w:numFmt w:val="decimal"/>
      <w:lvlText w:val="%4."/>
      <w:lvlJc w:val="left"/>
      <w:pPr>
        <w:ind w:left="2880" w:hanging="360"/>
      </w:pPr>
    </w:lvl>
    <w:lvl w:ilvl="4" w:tplc="09926C3C" w:tentative="1">
      <w:start w:val="1"/>
      <w:numFmt w:val="lowerLetter"/>
      <w:lvlText w:val="%5."/>
      <w:lvlJc w:val="left"/>
      <w:pPr>
        <w:ind w:left="3600" w:hanging="360"/>
      </w:pPr>
    </w:lvl>
    <w:lvl w:ilvl="5" w:tplc="B4BE60E6" w:tentative="1">
      <w:start w:val="1"/>
      <w:numFmt w:val="lowerRoman"/>
      <w:lvlText w:val="%6."/>
      <w:lvlJc w:val="right"/>
      <w:pPr>
        <w:ind w:left="4320" w:hanging="180"/>
      </w:pPr>
    </w:lvl>
    <w:lvl w:ilvl="6" w:tplc="B55AF52A" w:tentative="1">
      <w:start w:val="1"/>
      <w:numFmt w:val="decimal"/>
      <w:lvlText w:val="%7."/>
      <w:lvlJc w:val="left"/>
      <w:pPr>
        <w:ind w:left="5040" w:hanging="360"/>
      </w:pPr>
    </w:lvl>
    <w:lvl w:ilvl="7" w:tplc="0C1864F8" w:tentative="1">
      <w:start w:val="1"/>
      <w:numFmt w:val="lowerLetter"/>
      <w:lvlText w:val="%8."/>
      <w:lvlJc w:val="left"/>
      <w:pPr>
        <w:ind w:left="5760" w:hanging="360"/>
      </w:pPr>
    </w:lvl>
    <w:lvl w:ilvl="8" w:tplc="E4BEF166" w:tentative="1">
      <w:start w:val="1"/>
      <w:numFmt w:val="lowerRoman"/>
      <w:lvlText w:val="%9."/>
      <w:lvlJc w:val="right"/>
      <w:pPr>
        <w:ind w:left="6480" w:hanging="180"/>
      </w:pPr>
    </w:lvl>
  </w:abstractNum>
  <w:abstractNum w:abstractNumId="20" w15:restartNumberingAfterBreak="0">
    <w:nsid w:val="648C1B75"/>
    <w:multiLevelType w:val="hybridMultilevel"/>
    <w:tmpl w:val="1200007C"/>
    <w:lvl w:ilvl="0" w:tplc="9F9EFC92">
      <w:start w:val="1"/>
      <w:numFmt w:val="decimal"/>
      <w:lvlText w:val="%1."/>
      <w:lvlJc w:val="left"/>
      <w:pPr>
        <w:ind w:left="1211" w:hanging="360"/>
      </w:pPr>
      <w:rPr>
        <w:rFonts w:ascii="Times New Roman" w:eastAsia="Calibri" w:hAnsi="Times New Roman" w:cs="Times New Roman"/>
      </w:rPr>
    </w:lvl>
    <w:lvl w:ilvl="1" w:tplc="0436DF8A" w:tentative="1">
      <w:start w:val="1"/>
      <w:numFmt w:val="lowerLetter"/>
      <w:lvlText w:val="%2."/>
      <w:lvlJc w:val="left"/>
      <w:pPr>
        <w:ind w:left="1931" w:hanging="360"/>
      </w:pPr>
    </w:lvl>
    <w:lvl w:ilvl="2" w:tplc="4CE45922" w:tentative="1">
      <w:start w:val="1"/>
      <w:numFmt w:val="lowerRoman"/>
      <w:lvlText w:val="%3."/>
      <w:lvlJc w:val="right"/>
      <w:pPr>
        <w:ind w:left="2651" w:hanging="180"/>
      </w:pPr>
    </w:lvl>
    <w:lvl w:ilvl="3" w:tplc="D1B0FFC6" w:tentative="1">
      <w:start w:val="1"/>
      <w:numFmt w:val="decimal"/>
      <w:lvlText w:val="%4."/>
      <w:lvlJc w:val="left"/>
      <w:pPr>
        <w:ind w:left="3371" w:hanging="360"/>
      </w:pPr>
    </w:lvl>
    <w:lvl w:ilvl="4" w:tplc="E446E5D0" w:tentative="1">
      <w:start w:val="1"/>
      <w:numFmt w:val="lowerLetter"/>
      <w:lvlText w:val="%5."/>
      <w:lvlJc w:val="left"/>
      <w:pPr>
        <w:ind w:left="4091" w:hanging="360"/>
      </w:pPr>
    </w:lvl>
    <w:lvl w:ilvl="5" w:tplc="0666BC5A" w:tentative="1">
      <w:start w:val="1"/>
      <w:numFmt w:val="lowerRoman"/>
      <w:lvlText w:val="%6."/>
      <w:lvlJc w:val="right"/>
      <w:pPr>
        <w:ind w:left="4811" w:hanging="180"/>
      </w:pPr>
    </w:lvl>
    <w:lvl w:ilvl="6" w:tplc="6868C7C0" w:tentative="1">
      <w:start w:val="1"/>
      <w:numFmt w:val="decimal"/>
      <w:lvlText w:val="%7."/>
      <w:lvlJc w:val="left"/>
      <w:pPr>
        <w:ind w:left="5531" w:hanging="360"/>
      </w:pPr>
    </w:lvl>
    <w:lvl w:ilvl="7" w:tplc="C5E6C4AA" w:tentative="1">
      <w:start w:val="1"/>
      <w:numFmt w:val="lowerLetter"/>
      <w:lvlText w:val="%8."/>
      <w:lvlJc w:val="left"/>
      <w:pPr>
        <w:ind w:left="6251" w:hanging="360"/>
      </w:pPr>
    </w:lvl>
    <w:lvl w:ilvl="8" w:tplc="540CBD6C" w:tentative="1">
      <w:start w:val="1"/>
      <w:numFmt w:val="lowerRoman"/>
      <w:lvlText w:val="%9."/>
      <w:lvlJc w:val="right"/>
      <w:pPr>
        <w:ind w:left="6971" w:hanging="180"/>
      </w:pPr>
    </w:lvl>
  </w:abstractNum>
  <w:abstractNum w:abstractNumId="21" w15:restartNumberingAfterBreak="0">
    <w:nsid w:val="69B348C1"/>
    <w:multiLevelType w:val="hybridMultilevel"/>
    <w:tmpl w:val="4E34B79C"/>
    <w:lvl w:ilvl="0" w:tplc="4E4AFCE6">
      <w:start w:val="1"/>
      <w:numFmt w:val="decimal"/>
      <w:lvlText w:val="%1)"/>
      <w:lvlJc w:val="left"/>
      <w:pPr>
        <w:ind w:left="1211" w:hanging="360"/>
      </w:pPr>
      <w:rPr>
        <w:rFonts w:hint="default"/>
      </w:rPr>
    </w:lvl>
    <w:lvl w:ilvl="1" w:tplc="8D768742" w:tentative="1">
      <w:start w:val="1"/>
      <w:numFmt w:val="lowerLetter"/>
      <w:lvlText w:val="%2."/>
      <w:lvlJc w:val="left"/>
      <w:pPr>
        <w:ind w:left="1931" w:hanging="360"/>
      </w:pPr>
    </w:lvl>
    <w:lvl w:ilvl="2" w:tplc="5E100284" w:tentative="1">
      <w:start w:val="1"/>
      <w:numFmt w:val="lowerRoman"/>
      <w:lvlText w:val="%3."/>
      <w:lvlJc w:val="right"/>
      <w:pPr>
        <w:ind w:left="2651" w:hanging="180"/>
      </w:pPr>
    </w:lvl>
    <w:lvl w:ilvl="3" w:tplc="C19E7E7E" w:tentative="1">
      <w:start w:val="1"/>
      <w:numFmt w:val="decimal"/>
      <w:lvlText w:val="%4."/>
      <w:lvlJc w:val="left"/>
      <w:pPr>
        <w:ind w:left="3371" w:hanging="360"/>
      </w:pPr>
    </w:lvl>
    <w:lvl w:ilvl="4" w:tplc="407AE99C" w:tentative="1">
      <w:start w:val="1"/>
      <w:numFmt w:val="lowerLetter"/>
      <w:lvlText w:val="%5."/>
      <w:lvlJc w:val="left"/>
      <w:pPr>
        <w:ind w:left="4091" w:hanging="360"/>
      </w:pPr>
    </w:lvl>
    <w:lvl w:ilvl="5" w:tplc="B6DA45A4" w:tentative="1">
      <w:start w:val="1"/>
      <w:numFmt w:val="lowerRoman"/>
      <w:lvlText w:val="%6."/>
      <w:lvlJc w:val="right"/>
      <w:pPr>
        <w:ind w:left="4811" w:hanging="180"/>
      </w:pPr>
    </w:lvl>
    <w:lvl w:ilvl="6" w:tplc="36C6B424" w:tentative="1">
      <w:start w:val="1"/>
      <w:numFmt w:val="decimal"/>
      <w:lvlText w:val="%7."/>
      <w:lvlJc w:val="left"/>
      <w:pPr>
        <w:ind w:left="5531" w:hanging="360"/>
      </w:pPr>
    </w:lvl>
    <w:lvl w:ilvl="7" w:tplc="4E687D50" w:tentative="1">
      <w:start w:val="1"/>
      <w:numFmt w:val="lowerLetter"/>
      <w:lvlText w:val="%8."/>
      <w:lvlJc w:val="left"/>
      <w:pPr>
        <w:ind w:left="6251" w:hanging="360"/>
      </w:pPr>
    </w:lvl>
    <w:lvl w:ilvl="8" w:tplc="CB262BD4" w:tentative="1">
      <w:start w:val="1"/>
      <w:numFmt w:val="lowerRoman"/>
      <w:lvlText w:val="%9."/>
      <w:lvlJc w:val="right"/>
      <w:pPr>
        <w:ind w:left="6971" w:hanging="180"/>
      </w:pPr>
    </w:lvl>
  </w:abstractNum>
  <w:abstractNum w:abstractNumId="22" w15:restartNumberingAfterBreak="0">
    <w:nsid w:val="6CE72B3C"/>
    <w:multiLevelType w:val="hybridMultilevel"/>
    <w:tmpl w:val="A4C0DBD4"/>
    <w:lvl w:ilvl="0" w:tplc="C90C8B9E">
      <w:start w:val="1"/>
      <w:numFmt w:val="decimal"/>
      <w:lvlText w:val="%1."/>
      <w:lvlJc w:val="left"/>
      <w:pPr>
        <w:ind w:left="1069" w:hanging="360"/>
      </w:pPr>
      <w:rPr>
        <w:rFonts w:hint="default"/>
      </w:rPr>
    </w:lvl>
    <w:lvl w:ilvl="1" w:tplc="D2940676" w:tentative="1">
      <w:start w:val="1"/>
      <w:numFmt w:val="lowerLetter"/>
      <w:lvlText w:val="%2."/>
      <w:lvlJc w:val="left"/>
      <w:pPr>
        <w:ind w:left="1789" w:hanging="360"/>
      </w:pPr>
    </w:lvl>
    <w:lvl w:ilvl="2" w:tplc="1BE0B34A" w:tentative="1">
      <w:start w:val="1"/>
      <w:numFmt w:val="lowerRoman"/>
      <w:lvlText w:val="%3."/>
      <w:lvlJc w:val="right"/>
      <w:pPr>
        <w:ind w:left="2509" w:hanging="180"/>
      </w:pPr>
    </w:lvl>
    <w:lvl w:ilvl="3" w:tplc="8A10322C" w:tentative="1">
      <w:start w:val="1"/>
      <w:numFmt w:val="decimal"/>
      <w:lvlText w:val="%4."/>
      <w:lvlJc w:val="left"/>
      <w:pPr>
        <w:ind w:left="3229" w:hanging="360"/>
      </w:pPr>
    </w:lvl>
    <w:lvl w:ilvl="4" w:tplc="17627A0C" w:tentative="1">
      <w:start w:val="1"/>
      <w:numFmt w:val="lowerLetter"/>
      <w:lvlText w:val="%5."/>
      <w:lvlJc w:val="left"/>
      <w:pPr>
        <w:ind w:left="3949" w:hanging="360"/>
      </w:pPr>
    </w:lvl>
    <w:lvl w:ilvl="5" w:tplc="79B6C528" w:tentative="1">
      <w:start w:val="1"/>
      <w:numFmt w:val="lowerRoman"/>
      <w:lvlText w:val="%6."/>
      <w:lvlJc w:val="right"/>
      <w:pPr>
        <w:ind w:left="4669" w:hanging="180"/>
      </w:pPr>
    </w:lvl>
    <w:lvl w:ilvl="6" w:tplc="33409B8E" w:tentative="1">
      <w:start w:val="1"/>
      <w:numFmt w:val="decimal"/>
      <w:lvlText w:val="%7."/>
      <w:lvlJc w:val="left"/>
      <w:pPr>
        <w:ind w:left="5389" w:hanging="360"/>
      </w:pPr>
    </w:lvl>
    <w:lvl w:ilvl="7" w:tplc="4530B65A" w:tentative="1">
      <w:start w:val="1"/>
      <w:numFmt w:val="lowerLetter"/>
      <w:lvlText w:val="%8."/>
      <w:lvlJc w:val="left"/>
      <w:pPr>
        <w:ind w:left="6109" w:hanging="360"/>
      </w:pPr>
    </w:lvl>
    <w:lvl w:ilvl="8" w:tplc="2E6EA5F0" w:tentative="1">
      <w:start w:val="1"/>
      <w:numFmt w:val="lowerRoman"/>
      <w:lvlText w:val="%9."/>
      <w:lvlJc w:val="right"/>
      <w:pPr>
        <w:ind w:left="6829" w:hanging="180"/>
      </w:pPr>
    </w:lvl>
  </w:abstractNum>
  <w:abstractNum w:abstractNumId="23" w15:restartNumberingAfterBreak="0">
    <w:nsid w:val="7A945E58"/>
    <w:multiLevelType w:val="hybridMultilevel"/>
    <w:tmpl w:val="7BD07C86"/>
    <w:lvl w:ilvl="0" w:tplc="517687F4">
      <w:start w:val="1"/>
      <w:numFmt w:val="lowerLetter"/>
      <w:lvlText w:val="(%1)"/>
      <w:lvlJc w:val="left"/>
      <w:pPr>
        <w:ind w:left="690" w:hanging="690"/>
      </w:pPr>
      <w:rPr>
        <w:rFonts w:hint="default"/>
      </w:rPr>
    </w:lvl>
    <w:lvl w:ilvl="1" w:tplc="3B8A7812" w:tentative="1">
      <w:start w:val="1"/>
      <w:numFmt w:val="lowerLetter"/>
      <w:lvlText w:val="%2."/>
      <w:lvlJc w:val="left"/>
      <w:pPr>
        <w:ind w:left="1080" w:hanging="360"/>
      </w:pPr>
    </w:lvl>
    <w:lvl w:ilvl="2" w:tplc="E8A004AC" w:tentative="1">
      <w:start w:val="1"/>
      <w:numFmt w:val="lowerRoman"/>
      <w:lvlText w:val="%3."/>
      <w:lvlJc w:val="right"/>
      <w:pPr>
        <w:ind w:left="1800" w:hanging="180"/>
      </w:pPr>
    </w:lvl>
    <w:lvl w:ilvl="3" w:tplc="805E38CC" w:tentative="1">
      <w:start w:val="1"/>
      <w:numFmt w:val="decimal"/>
      <w:lvlText w:val="%4."/>
      <w:lvlJc w:val="left"/>
      <w:pPr>
        <w:ind w:left="2520" w:hanging="360"/>
      </w:pPr>
    </w:lvl>
    <w:lvl w:ilvl="4" w:tplc="793C69CE" w:tentative="1">
      <w:start w:val="1"/>
      <w:numFmt w:val="lowerLetter"/>
      <w:lvlText w:val="%5."/>
      <w:lvlJc w:val="left"/>
      <w:pPr>
        <w:ind w:left="3240" w:hanging="360"/>
      </w:pPr>
    </w:lvl>
    <w:lvl w:ilvl="5" w:tplc="9E849FFA" w:tentative="1">
      <w:start w:val="1"/>
      <w:numFmt w:val="lowerRoman"/>
      <w:lvlText w:val="%6."/>
      <w:lvlJc w:val="right"/>
      <w:pPr>
        <w:ind w:left="3960" w:hanging="180"/>
      </w:pPr>
    </w:lvl>
    <w:lvl w:ilvl="6" w:tplc="DD523D54" w:tentative="1">
      <w:start w:val="1"/>
      <w:numFmt w:val="decimal"/>
      <w:lvlText w:val="%7."/>
      <w:lvlJc w:val="left"/>
      <w:pPr>
        <w:ind w:left="4680" w:hanging="360"/>
      </w:pPr>
    </w:lvl>
    <w:lvl w:ilvl="7" w:tplc="0944CD52" w:tentative="1">
      <w:start w:val="1"/>
      <w:numFmt w:val="lowerLetter"/>
      <w:lvlText w:val="%8."/>
      <w:lvlJc w:val="left"/>
      <w:pPr>
        <w:ind w:left="5400" w:hanging="360"/>
      </w:pPr>
    </w:lvl>
    <w:lvl w:ilvl="8" w:tplc="441EB7AE" w:tentative="1">
      <w:start w:val="1"/>
      <w:numFmt w:val="lowerRoman"/>
      <w:lvlText w:val="%9."/>
      <w:lvlJc w:val="right"/>
      <w:pPr>
        <w:ind w:left="6120" w:hanging="180"/>
      </w:pPr>
    </w:lvl>
  </w:abstractNum>
  <w:abstractNum w:abstractNumId="24" w15:restartNumberingAfterBreak="0">
    <w:nsid w:val="7DC41FC6"/>
    <w:multiLevelType w:val="hybridMultilevel"/>
    <w:tmpl w:val="5E08B388"/>
    <w:lvl w:ilvl="0" w:tplc="0FCC77E2">
      <w:start w:val="1"/>
      <w:numFmt w:val="decimal"/>
      <w:lvlText w:val="%1."/>
      <w:lvlJc w:val="left"/>
      <w:pPr>
        <w:ind w:left="1117" w:hanging="360"/>
      </w:pPr>
    </w:lvl>
    <w:lvl w:ilvl="1" w:tplc="A9D042EE" w:tentative="1">
      <w:start w:val="1"/>
      <w:numFmt w:val="lowerLetter"/>
      <w:lvlText w:val="%2."/>
      <w:lvlJc w:val="left"/>
      <w:pPr>
        <w:ind w:left="1837" w:hanging="360"/>
      </w:pPr>
    </w:lvl>
    <w:lvl w:ilvl="2" w:tplc="2542E174" w:tentative="1">
      <w:start w:val="1"/>
      <w:numFmt w:val="lowerRoman"/>
      <w:lvlText w:val="%3."/>
      <w:lvlJc w:val="right"/>
      <w:pPr>
        <w:ind w:left="2557" w:hanging="180"/>
      </w:pPr>
    </w:lvl>
    <w:lvl w:ilvl="3" w:tplc="C2D4CEC0" w:tentative="1">
      <w:start w:val="1"/>
      <w:numFmt w:val="decimal"/>
      <w:lvlText w:val="%4."/>
      <w:lvlJc w:val="left"/>
      <w:pPr>
        <w:ind w:left="3277" w:hanging="360"/>
      </w:pPr>
    </w:lvl>
    <w:lvl w:ilvl="4" w:tplc="10084232" w:tentative="1">
      <w:start w:val="1"/>
      <w:numFmt w:val="lowerLetter"/>
      <w:lvlText w:val="%5."/>
      <w:lvlJc w:val="left"/>
      <w:pPr>
        <w:ind w:left="3997" w:hanging="360"/>
      </w:pPr>
    </w:lvl>
    <w:lvl w:ilvl="5" w:tplc="01743FBA" w:tentative="1">
      <w:start w:val="1"/>
      <w:numFmt w:val="lowerRoman"/>
      <w:lvlText w:val="%6."/>
      <w:lvlJc w:val="right"/>
      <w:pPr>
        <w:ind w:left="4717" w:hanging="180"/>
      </w:pPr>
    </w:lvl>
    <w:lvl w:ilvl="6" w:tplc="51FA50BC" w:tentative="1">
      <w:start w:val="1"/>
      <w:numFmt w:val="decimal"/>
      <w:lvlText w:val="%7."/>
      <w:lvlJc w:val="left"/>
      <w:pPr>
        <w:ind w:left="5437" w:hanging="360"/>
      </w:pPr>
    </w:lvl>
    <w:lvl w:ilvl="7" w:tplc="BB10E78C" w:tentative="1">
      <w:start w:val="1"/>
      <w:numFmt w:val="lowerLetter"/>
      <w:lvlText w:val="%8."/>
      <w:lvlJc w:val="left"/>
      <w:pPr>
        <w:ind w:left="6157" w:hanging="360"/>
      </w:pPr>
    </w:lvl>
    <w:lvl w:ilvl="8" w:tplc="7AA0EF1E" w:tentative="1">
      <w:start w:val="1"/>
      <w:numFmt w:val="lowerRoman"/>
      <w:lvlText w:val="%9."/>
      <w:lvlJc w:val="right"/>
      <w:pPr>
        <w:ind w:left="6877" w:hanging="180"/>
      </w:pPr>
    </w:lvl>
  </w:abstractNum>
  <w:num w:numId="1">
    <w:abstractNumId w:val="8"/>
  </w:num>
  <w:num w:numId="2">
    <w:abstractNumId w:val="5"/>
  </w:num>
  <w:num w:numId="3">
    <w:abstractNumId w:val="2"/>
  </w:num>
  <w:num w:numId="4">
    <w:abstractNumId w:val="10"/>
  </w:num>
  <w:num w:numId="5">
    <w:abstractNumId w:val="13"/>
  </w:num>
  <w:num w:numId="6">
    <w:abstractNumId w:val="24"/>
  </w:num>
  <w:num w:numId="7">
    <w:abstractNumId w:val="23"/>
  </w:num>
  <w:num w:numId="8">
    <w:abstractNumId w:val="11"/>
  </w:num>
  <w:num w:numId="9">
    <w:abstractNumId w:val="21"/>
  </w:num>
  <w:num w:numId="10">
    <w:abstractNumId w:val="20"/>
  </w:num>
  <w:num w:numId="11">
    <w:abstractNumId w:val="12"/>
  </w:num>
  <w:num w:numId="12">
    <w:abstractNumId w:val="9"/>
  </w:num>
  <w:num w:numId="13">
    <w:abstractNumId w:val="16"/>
  </w:num>
  <w:num w:numId="14">
    <w:abstractNumId w:val="4"/>
  </w:num>
  <w:num w:numId="15">
    <w:abstractNumId w:val="14"/>
  </w:num>
  <w:num w:numId="16">
    <w:abstractNumId w:val="17"/>
  </w:num>
  <w:num w:numId="17">
    <w:abstractNumId w:val="22"/>
  </w:num>
  <w:num w:numId="18">
    <w:abstractNumId w:val="7"/>
  </w:num>
  <w:num w:numId="19">
    <w:abstractNumId w:val="18"/>
  </w:num>
  <w:num w:numId="20">
    <w:abstractNumId w:val="6"/>
  </w:num>
  <w:num w:numId="21">
    <w:abstractNumId w:val="19"/>
  </w:num>
  <w:num w:numId="22">
    <w:abstractNumId w:val="3"/>
  </w:num>
  <w:num w:numId="23">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mirrorMargin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autoHyphenation/>
  <w:hyphenationZone w:val="397"/>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232"/>
    <w:rsid w:val="00000918"/>
    <w:rsid w:val="00005861"/>
    <w:rsid w:val="00005ECB"/>
    <w:rsid w:val="0001056D"/>
    <w:rsid w:val="000152FC"/>
    <w:rsid w:val="0001597B"/>
    <w:rsid w:val="00015F62"/>
    <w:rsid w:val="00017A80"/>
    <w:rsid w:val="00017BE6"/>
    <w:rsid w:val="00021103"/>
    <w:rsid w:val="000211D5"/>
    <w:rsid w:val="00021477"/>
    <w:rsid w:val="00021DC6"/>
    <w:rsid w:val="000259BC"/>
    <w:rsid w:val="00025D63"/>
    <w:rsid w:val="00027EF1"/>
    <w:rsid w:val="000314BB"/>
    <w:rsid w:val="0003270F"/>
    <w:rsid w:val="0003450E"/>
    <w:rsid w:val="00041CFD"/>
    <w:rsid w:val="00042AC7"/>
    <w:rsid w:val="00043C05"/>
    <w:rsid w:val="00047786"/>
    <w:rsid w:val="00050FC6"/>
    <w:rsid w:val="00051C4F"/>
    <w:rsid w:val="00051EF0"/>
    <w:rsid w:val="00052F0E"/>
    <w:rsid w:val="000543F1"/>
    <w:rsid w:val="00056250"/>
    <w:rsid w:val="00060047"/>
    <w:rsid w:val="00064639"/>
    <w:rsid w:val="00066F98"/>
    <w:rsid w:val="00067D6A"/>
    <w:rsid w:val="0007067A"/>
    <w:rsid w:val="00073995"/>
    <w:rsid w:val="000747C8"/>
    <w:rsid w:val="00074E0C"/>
    <w:rsid w:val="00077697"/>
    <w:rsid w:val="00083148"/>
    <w:rsid w:val="000832E5"/>
    <w:rsid w:val="00093425"/>
    <w:rsid w:val="00095519"/>
    <w:rsid w:val="0009667A"/>
    <w:rsid w:val="000A03B7"/>
    <w:rsid w:val="000A576A"/>
    <w:rsid w:val="000A6222"/>
    <w:rsid w:val="000B0B83"/>
    <w:rsid w:val="000B31FC"/>
    <w:rsid w:val="000B3435"/>
    <w:rsid w:val="000B3679"/>
    <w:rsid w:val="000B46C3"/>
    <w:rsid w:val="000B48BB"/>
    <w:rsid w:val="000B54A0"/>
    <w:rsid w:val="000B5909"/>
    <w:rsid w:val="000C3897"/>
    <w:rsid w:val="000D00E8"/>
    <w:rsid w:val="000D014A"/>
    <w:rsid w:val="000D4D0C"/>
    <w:rsid w:val="000D7B1B"/>
    <w:rsid w:val="000F1ED5"/>
    <w:rsid w:val="000F41A2"/>
    <w:rsid w:val="001008DB"/>
    <w:rsid w:val="00100938"/>
    <w:rsid w:val="00106022"/>
    <w:rsid w:val="001133B8"/>
    <w:rsid w:val="0011356A"/>
    <w:rsid w:val="001147A2"/>
    <w:rsid w:val="00115E7B"/>
    <w:rsid w:val="00117232"/>
    <w:rsid w:val="00121294"/>
    <w:rsid w:val="00125AB4"/>
    <w:rsid w:val="00125DAC"/>
    <w:rsid w:val="00125DDB"/>
    <w:rsid w:val="00131DBF"/>
    <w:rsid w:val="00135302"/>
    <w:rsid w:val="00136087"/>
    <w:rsid w:val="00140AB1"/>
    <w:rsid w:val="00141B63"/>
    <w:rsid w:val="00143B13"/>
    <w:rsid w:val="00143B4C"/>
    <w:rsid w:val="001442BD"/>
    <w:rsid w:val="001460FE"/>
    <w:rsid w:val="001472EE"/>
    <w:rsid w:val="0015062D"/>
    <w:rsid w:val="00156E92"/>
    <w:rsid w:val="0016051E"/>
    <w:rsid w:val="00160EF1"/>
    <w:rsid w:val="001622D4"/>
    <w:rsid w:val="0016314D"/>
    <w:rsid w:val="00164C11"/>
    <w:rsid w:val="00165602"/>
    <w:rsid w:val="0016601D"/>
    <w:rsid w:val="00176623"/>
    <w:rsid w:val="0018271E"/>
    <w:rsid w:val="00185878"/>
    <w:rsid w:val="00186405"/>
    <w:rsid w:val="0018646B"/>
    <w:rsid w:val="00191FB3"/>
    <w:rsid w:val="001959CA"/>
    <w:rsid w:val="001A1EFE"/>
    <w:rsid w:val="001A34D1"/>
    <w:rsid w:val="001A3E49"/>
    <w:rsid w:val="001B252D"/>
    <w:rsid w:val="001B29CB"/>
    <w:rsid w:val="001B36A1"/>
    <w:rsid w:val="001B4963"/>
    <w:rsid w:val="001B5CA7"/>
    <w:rsid w:val="001C2435"/>
    <w:rsid w:val="001C3CAD"/>
    <w:rsid w:val="001C4989"/>
    <w:rsid w:val="001C690E"/>
    <w:rsid w:val="001C756F"/>
    <w:rsid w:val="001D2DCA"/>
    <w:rsid w:val="001D58FC"/>
    <w:rsid w:val="001D61BB"/>
    <w:rsid w:val="001E0440"/>
    <w:rsid w:val="001E14A1"/>
    <w:rsid w:val="001E2FB2"/>
    <w:rsid w:val="001E45D6"/>
    <w:rsid w:val="001E6020"/>
    <w:rsid w:val="001E6114"/>
    <w:rsid w:val="001E742C"/>
    <w:rsid w:val="001F0282"/>
    <w:rsid w:val="001F5B59"/>
    <w:rsid w:val="00201D21"/>
    <w:rsid w:val="002052FC"/>
    <w:rsid w:val="002071B3"/>
    <w:rsid w:val="00210126"/>
    <w:rsid w:val="00213B74"/>
    <w:rsid w:val="00213B93"/>
    <w:rsid w:val="00214607"/>
    <w:rsid w:val="00217FCC"/>
    <w:rsid w:val="00221131"/>
    <w:rsid w:val="00221FA5"/>
    <w:rsid w:val="00221FF5"/>
    <w:rsid w:val="00222058"/>
    <w:rsid w:val="0022587E"/>
    <w:rsid w:val="00227276"/>
    <w:rsid w:val="00227876"/>
    <w:rsid w:val="00227891"/>
    <w:rsid w:val="00231D26"/>
    <w:rsid w:val="00232F36"/>
    <w:rsid w:val="002357DF"/>
    <w:rsid w:val="00235E48"/>
    <w:rsid w:val="0023796C"/>
    <w:rsid w:val="00240D33"/>
    <w:rsid w:val="00240EB0"/>
    <w:rsid w:val="00241897"/>
    <w:rsid w:val="00242BEC"/>
    <w:rsid w:val="00244639"/>
    <w:rsid w:val="002454E2"/>
    <w:rsid w:val="00245531"/>
    <w:rsid w:val="002466D6"/>
    <w:rsid w:val="00246DA7"/>
    <w:rsid w:val="00251D7E"/>
    <w:rsid w:val="00252AB2"/>
    <w:rsid w:val="002546BC"/>
    <w:rsid w:val="002578E3"/>
    <w:rsid w:val="00257A17"/>
    <w:rsid w:val="00261D66"/>
    <w:rsid w:val="00262F32"/>
    <w:rsid w:val="00265A28"/>
    <w:rsid w:val="0027151C"/>
    <w:rsid w:val="00275F37"/>
    <w:rsid w:val="00280616"/>
    <w:rsid w:val="00284444"/>
    <w:rsid w:val="00286E16"/>
    <w:rsid w:val="002925A4"/>
    <w:rsid w:val="002929A4"/>
    <w:rsid w:val="00292DA8"/>
    <w:rsid w:val="0029480B"/>
    <w:rsid w:val="00294ED4"/>
    <w:rsid w:val="00296E7D"/>
    <w:rsid w:val="002A1C0B"/>
    <w:rsid w:val="002A37CD"/>
    <w:rsid w:val="002B2B06"/>
    <w:rsid w:val="002B4317"/>
    <w:rsid w:val="002B719E"/>
    <w:rsid w:val="002B7538"/>
    <w:rsid w:val="002C07FB"/>
    <w:rsid w:val="002C3EEF"/>
    <w:rsid w:val="002C5FEE"/>
    <w:rsid w:val="002C7997"/>
    <w:rsid w:val="002D2575"/>
    <w:rsid w:val="002D35B8"/>
    <w:rsid w:val="002D7FA8"/>
    <w:rsid w:val="002E0651"/>
    <w:rsid w:val="002E1DF1"/>
    <w:rsid w:val="002E1FC6"/>
    <w:rsid w:val="002E556E"/>
    <w:rsid w:val="002E59AE"/>
    <w:rsid w:val="002E66C1"/>
    <w:rsid w:val="002E7DFA"/>
    <w:rsid w:val="002F0A60"/>
    <w:rsid w:val="002F2D80"/>
    <w:rsid w:val="002F3B1B"/>
    <w:rsid w:val="002F463E"/>
    <w:rsid w:val="00300E53"/>
    <w:rsid w:val="0030479C"/>
    <w:rsid w:val="003057D2"/>
    <w:rsid w:val="00305D06"/>
    <w:rsid w:val="00306CC4"/>
    <w:rsid w:val="00311D01"/>
    <w:rsid w:val="0031380B"/>
    <w:rsid w:val="00324C05"/>
    <w:rsid w:val="003327D6"/>
    <w:rsid w:val="00332BF0"/>
    <w:rsid w:val="003350E0"/>
    <w:rsid w:val="0033734E"/>
    <w:rsid w:val="00340651"/>
    <w:rsid w:val="003458FF"/>
    <w:rsid w:val="003504B3"/>
    <w:rsid w:val="003516DF"/>
    <w:rsid w:val="0035197C"/>
    <w:rsid w:val="00363ED4"/>
    <w:rsid w:val="0036435E"/>
    <w:rsid w:val="00367887"/>
    <w:rsid w:val="00373A35"/>
    <w:rsid w:val="00374CE0"/>
    <w:rsid w:val="00375A06"/>
    <w:rsid w:val="00376753"/>
    <w:rsid w:val="00376804"/>
    <w:rsid w:val="00377DC6"/>
    <w:rsid w:val="00386624"/>
    <w:rsid w:val="00390363"/>
    <w:rsid w:val="003916FC"/>
    <w:rsid w:val="0039349E"/>
    <w:rsid w:val="003940AE"/>
    <w:rsid w:val="00395B82"/>
    <w:rsid w:val="003A22C4"/>
    <w:rsid w:val="003A40F4"/>
    <w:rsid w:val="003A73FA"/>
    <w:rsid w:val="003A7931"/>
    <w:rsid w:val="003B056D"/>
    <w:rsid w:val="003B1912"/>
    <w:rsid w:val="003B2FDF"/>
    <w:rsid w:val="003B3AB3"/>
    <w:rsid w:val="003C49A5"/>
    <w:rsid w:val="003C7883"/>
    <w:rsid w:val="003D3E65"/>
    <w:rsid w:val="003D4150"/>
    <w:rsid w:val="003D51CD"/>
    <w:rsid w:val="003D7DE1"/>
    <w:rsid w:val="003E14D7"/>
    <w:rsid w:val="003E4DB6"/>
    <w:rsid w:val="003E68EB"/>
    <w:rsid w:val="003E7ED7"/>
    <w:rsid w:val="003F4F6E"/>
    <w:rsid w:val="003F68BE"/>
    <w:rsid w:val="003F73DC"/>
    <w:rsid w:val="004016BE"/>
    <w:rsid w:val="004058F5"/>
    <w:rsid w:val="0040619E"/>
    <w:rsid w:val="00407D58"/>
    <w:rsid w:val="00412828"/>
    <w:rsid w:val="0041335E"/>
    <w:rsid w:val="0041408C"/>
    <w:rsid w:val="00416CE5"/>
    <w:rsid w:val="00416DDA"/>
    <w:rsid w:val="004201DD"/>
    <w:rsid w:val="00422BE6"/>
    <w:rsid w:val="00423A30"/>
    <w:rsid w:val="004244ED"/>
    <w:rsid w:val="004310EE"/>
    <w:rsid w:val="00433926"/>
    <w:rsid w:val="00434013"/>
    <w:rsid w:val="00434D81"/>
    <w:rsid w:val="00437C93"/>
    <w:rsid w:val="00442304"/>
    <w:rsid w:val="00442B2E"/>
    <w:rsid w:val="00442E6A"/>
    <w:rsid w:val="00443EB7"/>
    <w:rsid w:val="00446104"/>
    <w:rsid w:val="004471DC"/>
    <w:rsid w:val="00447D71"/>
    <w:rsid w:val="00450231"/>
    <w:rsid w:val="00451ABF"/>
    <w:rsid w:val="0045325E"/>
    <w:rsid w:val="004535C0"/>
    <w:rsid w:val="00460D81"/>
    <w:rsid w:val="00461F1A"/>
    <w:rsid w:val="00462E10"/>
    <w:rsid w:val="00464DED"/>
    <w:rsid w:val="00471901"/>
    <w:rsid w:val="00473A0B"/>
    <w:rsid w:val="00474315"/>
    <w:rsid w:val="00476184"/>
    <w:rsid w:val="004764DB"/>
    <w:rsid w:val="00476B8F"/>
    <w:rsid w:val="0048306B"/>
    <w:rsid w:val="0048309C"/>
    <w:rsid w:val="00483461"/>
    <w:rsid w:val="00483F03"/>
    <w:rsid w:val="00486444"/>
    <w:rsid w:val="00487B0F"/>
    <w:rsid w:val="00490C39"/>
    <w:rsid w:val="004914EE"/>
    <w:rsid w:val="00491651"/>
    <w:rsid w:val="00492CF7"/>
    <w:rsid w:val="00497837"/>
    <w:rsid w:val="004A2968"/>
    <w:rsid w:val="004A4EB6"/>
    <w:rsid w:val="004A5D16"/>
    <w:rsid w:val="004A695F"/>
    <w:rsid w:val="004B673F"/>
    <w:rsid w:val="004C102F"/>
    <w:rsid w:val="004C40C9"/>
    <w:rsid w:val="004C676B"/>
    <w:rsid w:val="004D2081"/>
    <w:rsid w:val="004D382D"/>
    <w:rsid w:val="004D4BAF"/>
    <w:rsid w:val="004D4CE2"/>
    <w:rsid w:val="004D5609"/>
    <w:rsid w:val="004E23F1"/>
    <w:rsid w:val="004E2867"/>
    <w:rsid w:val="004E6CCA"/>
    <w:rsid w:val="004F08C5"/>
    <w:rsid w:val="004F0E1E"/>
    <w:rsid w:val="004F0FAC"/>
    <w:rsid w:val="004F3EB2"/>
    <w:rsid w:val="004F432C"/>
    <w:rsid w:val="004F5507"/>
    <w:rsid w:val="004F6ECF"/>
    <w:rsid w:val="004F709D"/>
    <w:rsid w:val="005011A6"/>
    <w:rsid w:val="00501F0B"/>
    <w:rsid w:val="005029F1"/>
    <w:rsid w:val="00502F0D"/>
    <w:rsid w:val="00503B70"/>
    <w:rsid w:val="00505179"/>
    <w:rsid w:val="00507D9D"/>
    <w:rsid w:val="00507EA8"/>
    <w:rsid w:val="0051043E"/>
    <w:rsid w:val="00510649"/>
    <w:rsid w:val="00511A21"/>
    <w:rsid w:val="00514496"/>
    <w:rsid w:val="00515820"/>
    <w:rsid w:val="005173B3"/>
    <w:rsid w:val="00520A3B"/>
    <w:rsid w:val="00521718"/>
    <w:rsid w:val="005306CC"/>
    <w:rsid w:val="00533341"/>
    <w:rsid w:val="00533C6C"/>
    <w:rsid w:val="005347B2"/>
    <w:rsid w:val="00535507"/>
    <w:rsid w:val="005407CE"/>
    <w:rsid w:val="00541687"/>
    <w:rsid w:val="00545281"/>
    <w:rsid w:val="005462B2"/>
    <w:rsid w:val="005462D2"/>
    <w:rsid w:val="00546861"/>
    <w:rsid w:val="005473BB"/>
    <w:rsid w:val="0055188C"/>
    <w:rsid w:val="00551A6E"/>
    <w:rsid w:val="00552F26"/>
    <w:rsid w:val="00552F37"/>
    <w:rsid w:val="00552F40"/>
    <w:rsid w:val="005564D4"/>
    <w:rsid w:val="00561D7D"/>
    <w:rsid w:val="005622FA"/>
    <w:rsid w:val="00562859"/>
    <w:rsid w:val="005670DF"/>
    <w:rsid w:val="005703B8"/>
    <w:rsid w:val="00571773"/>
    <w:rsid w:val="00572A44"/>
    <w:rsid w:val="00574D75"/>
    <w:rsid w:val="005808E5"/>
    <w:rsid w:val="00583130"/>
    <w:rsid w:val="005851B3"/>
    <w:rsid w:val="005871DC"/>
    <w:rsid w:val="00587E50"/>
    <w:rsid w:val="00593A3E"/>
    <w:rsid w:val="005943A2"/>
    <w:rsid w:val="00596D73"/>
    <w:rsid w:val="00596EB2"/>
    <w:rsid w:val="00597487"/>
    <w:rsid w:val="00597CAE"/>
    <w:rsid w:val="005A0F82"/>
    <w:rsid w:val="005A414E"/>
    <w:rsid w:val="005A622E"/>
    <w:rsid w:val="005A6B7A"/>
    <w:rsid w:val="005B05E6"/>
    <w:rsid w:val="005B2DBC"/>
    <w:rsid w:val="005B3BCA"/>
    <w:rsid w:val="005B490B"/>
    <w:rsid w:val="005B5ED9"/>
    <w:rsid w:val="005B63CB"/>
    <w:rsid w:val="005C0D93"/>
    <w:rsid w:val="005C33B0"/>
    <w:rsid w:val="005C36EB"/>
    <w:rsid w:val="005C37BD"/>
    <w:rsid w:val="005C7D79"/>
    <w:rsid w:val="005D097E"/>
    <w:rsid w:val="005D1E45"/>
    <w:rsid w:val="005D2F27"/>
    <w:rsid w:val="005D3706"/>
    <w:rsid w:val="005D38CB"/>
    <w:rsid w:val="005D74CF"/>
    <w:rsid w:val="005E10ED"/>
    <w:rsid w:val="005E6729"/>
    <w:rsid w:val="005E72AC"/>
    <w:rsid w:val="005F0921"/>
    <w:rsid w:val="005F0BBB"/>
    <w:rsid w:val="005F3243"/>
    <w:rsid w:val="005F4561"/>
    <w:rsid w:val="005F51F3"/>
    <w:rsid w:val="005F5E2D"/>
    <w:rsid w:val="0060063C"/>
    <w:rsid w:val="00603798"/>
    <w:rsid w:val="006061D9"/>
    <w:rsid w:val="00606483"/>
    <w:rsid w:val="00607808"/>
    <w:rsid w:val="0061090C"/>
    <w:rsid w:val="00613F61"/>
    <w:rsid w:val="006164F0"/>
    <w:rsid w:val="00620745"/>
    <w:rsid w:val="00625C76"/>
    <w:rsid w:val="00627A38"/>
    <w:rsid w:val="006314F7"/>
    <w:rsid w:val="00633BE3"/>
    <w:rsid w:val="00634167"/>
    <w:rsid w:val="006357F8"/>
    <w:rsid w:val="00636834"/>
    <w:rsid w:val="0064005F"/>
    <w:rsid w:val="006405C6"/>
    <w:rsid w:val="00642586"/>
    <w:rsid w:val="006441A3"/>
    <w:rsid w:val="00645493"/>
    <w:rsid w:val="00645A50"/>
    <w:rsid w:val="00646E37"/>
    <w:rsid w:val="00646F0D"/>
    <w:rsid w:val="006471BA"/>
    <w:rsid w:val="0065240F"/>
    <w:rsid w:val="00661A06"/>
    <w:rsid w:val="00663AD2"/>
    <w:rsid w:val="00663D9F"/>
    <w:rsid w:val="00665D20"/>
    <w:rsid w:val="00677B0F"/>
    <w:rsid w:val="00677C28"/>
    <w:rsid w:val="00682AB0"/>
    <w:rsid w:val="006847E1"/>
    <w:rsid w:val="0068580D"/>
    <w:rsid w:val="00687370"/>
    <w:rsid w:val="00690FC5"/>
    <w:rsid w:val="006932A9"/>
    <w:rsid w:val="006940BC"/>
    <w:rsid w:val="00694531"/>
    <w:rsid w:val="006946CD"/>
    <w:rsid w:val="006950CC"/>
    <w:rsid w:val="00695234"/>
    <w:rsid w:val="006A0B9B"/>
    <w:rsid w:val="006A2650"/>
    <w:rsid w:val="006A3A0C"/>
    <w:rsid w:val="006A60DD"/>
    <w:rsid w:val="006A74AF"/>
    <w:rsid w:val="006B75E8"/>
    <w:rsid w:val="006B7857"/>
    <w:rsid w:val="006B78C6"/>
    <w:rsid w:val="006C38C8"/>
    <w:rsid w:val="006C68B7"/>
    <w:rsid w:val="006D2188"/>
    <w:rsid w:val="006D423F"/>
    <w:rsid w:val="006D431C"/>
    <w:rsid w:val="006D5B78"/>
    <w:rsid w:val="006D5B95"/>
    <w:rsid w:val="006D5D65"/>
    <w:rsid w:val="006E1881"/>
    <w:rsid w:val="006E2353"/>
    <w:rsid w:val="006E437B"/>
    <w:rsid w:val="006E6B8D"/>
    <w:rsid w:val="006F1C67"/>
    <w:rsid w:val="006F3F7B"/>
    <w:rsid w:val="006F5D8D"/>
    <w:rsid w:val="006F65F0"/>
    <w:rsid w:val="006F665B"/>
    <w:rsid w:val="0070164F"/>
    <w:rsid w:val="00701C87"/>
    <w:rsid w:val="00701E79"/>
    <w:rsid w:val="00706062"/>
    <w:rsid w:val="007065AA"/>
    <w:rsid w:val="00711D2C"/>
    <w:rsid w:val="0071213C"/>
    <w:rsid w:val="00712604"/>
    <w:rsid w:val="007174E3"/>
    <w:rsid w:val="007178D1"/>
    <w:rsid w:val="0072209F"/>
    <w:rsid w:val="00722A15"/>
    <w:rsid w:val="007275D7"/>
    <w:rsid w:val="0073401B"/>
    <w:rsid w:val="00734FB8"/>
    <w:rsid w:val="00741B2E"/>
    <w:rsid w:val="00743AD4"/>
    <w:rsid w:val="00744A0C"/>
    <w:rsid w:val="007465CC"/>
    <w:rsid w:val="0074676E"/>
    <w:rsid w:val="0074686D"/>
    <w:rsid w:val="00747593"/>
    <w:rsid w:val="00752ABD"/>
    <w:rsid w:val="00753B3A"/>
    <w:rsid w:val="0075577D"/>
    <w:rsid w:val="007646C3"/>
    <w:rsid w:val="0076507E"/>
    <w:rsid w:val="00780BB6"/>
    <w:rsid w:val="00782E3A"/>
    <w:rsid w:val="00783FD8"/>
    <w:rsid w:val="00784852"/>
    <w:rsid w:val="00786227"/>
    <w:rsid w:val="00791CF0"/>
    <w:rsid w:val="00793C46"/>
    <w:rsid w:val="007A493C"/>
    <w:rsid w:val="007B3A8E"/>
    <w:rsid w:val="007B6F90"/>
    <w:rsid w:val="007C1194"/>
    <w:rsid w:val="007C1560"/>
    <w:rsid w:val="007C5D36"/>
    <w:rsid w:val="007C667F"/>
    <w:rsid w:val="007C7EB8"/>
    <w:rsid w:val="007D0344"/>
    <w:rsid w:val="007D3A0B"/>
    <w:rsid w:val="007D7E7B"/>
    <w:rsid w:val="007E0ABE"/>
    <w:rsid w:val="007E1A4C"/>
    <w:rsid w:val="007E3520"/>
    <w:rsid w:val="007E5FA2"/>
    <w:rsid w:val="007E741B"/>
    <w:rsid w:val="007E7B18"/>
    <w:rsid w:val="007F11FF"/>
    <w:rsid w:val="007F13F1"/>
    <w:rsid w:val="007F2A52"/>
    <w:rsid w:val="007F3053"/>
    <w:rsid w:val="007F768C"/>
    <w:rsid w:val="0080069A"/>
    <w:rsid w:val="008018A9"/>
    <w:rsid w:val="008024DD"/>
    <w:rsid w:val="00810FA2"/>
    <w:rsid w:val="00813820"/>
    <w:rsid w:val="0081662B"/>
    <w:rsid w:val="00816B11"/>
    <w:rsid w:val="00822EEA"/>
    <w:rsid w:val="008248DA"/>
    <w:rsid w:val="00824FEF"/>
    <w:rsid w:val="00827D4B"/>
    <w:rsid w:val="00831468"/>
    <w:rsid w:val="00837A58"/>
    <w:rsid w:val="00841400"/>
    <w:rsid w:val="008437D5"/>
    <w:rsid w:val="00843B00"/>
    <w:rsid w:val="00843C38"/>
    <w:rsid w:val="0084458C"/>
    <w:rsid w:val="0084540C"/>
    <w:rsid w:val="00845563"/>
    <w:rsid w:val="00845F82"/>
    <w:rsid w:val="00846816"/>
    <w:rsid w:val="0085044A"/>
    <w:rsid w:val="00851403"/>
    <w:rsid w:val="00853F37"/>
    <w:rsid w:val="0086173F"/>
    <w:rsid w:val="0086358E"/>
    <w:rsid w:val="0086464C"/>
    <w:rsid w:val="00864CCA"/>
    <w:rsid w:val="00866718"/>
    <w:rsid w:val="0087006A"/>
    <w:rsid w:val="008702D2"/>
    <w:rsid w:val="0087348A"/>
    <w:rsid w:val="00873F1F"/>
    <w:rsid w:val="00875446"/>
    <w:rsid w:val="00885A92"/>
    <w:rsid w:val="00885EC2"/>
    <w:rsid w:val="00887524"/>
    <w:rsid w:val="008905FB"/>
    <w:rsid w:val="00891382"/>
    <w:rsid w:val="0089155B"/>
    <w:rsid w:val="00891AF7"/>
    <w:rsid w:val="00896DC5"/>
    <w:rsid w:val="008A3972"/>
    <w:rsid w:val="008A6A88"/>
    <w:rsid w:val="008B03C1"/>
    <w:rsid w:val="008B0544"/>
    <w:rsid w:val="008B1CCD"/>
    <w:rsid w:val="008B59A9"/>
    <w:rsid w:val="008C3DEF"/>
    <w:rsid w:val="008C55A6"/>
    <w:rsid w:val="008C75A5"/>
    <w:rsid w:val="008D06B3"/>
    <w:rsid w:val="008D176A"/>
    <w:rsid w:val="008D3DFD"/>
    <w:rsid w:val="008D665D"/>
    <w:rsid w:val="008E09C7"/>
    <w:rsid w:val="008E0E60"/>
    <w:rsid w:val="008E25F4"/>
    <w:rsid w:val="008E74C8"/>
    <w:rsid w:val="008F0936"/>
    <w:rsid w:val="008F3BBB"/>
    <w:rsid w:val="008F5C81"/>
    <w:rsid w:val="008F7E07"/>
    <w:rsid w:val="00901EE6"/>
    <w:rsid w:val="00903FA8"/>
    <w:rsid w:val="00907F98"/>
    <w:rsid w:val="009133DC"/>
    <w:rsid w:val="009175FF"/>
    <w:rsid w:val="009206EF"/>
    <w:rsid w:val="00920BEA"/>
    <w:rsid w:val="00924713"/>
    <w:rsid w:val="00927859"/>
    <w:rsid w:val="009340D1"/>
    <w:rsid w:val="00934D83"/>
    <w:rsid w:val="009369C7"/>
    <w:rsid w:val="009372FB"/>
    <w:rsid w:val="00941A81"/>
    <w:rsid w:val="00943AE3"/>
    <w:rsid w:val="0094610E"/>
    <w:rsid w:val="00947812"/>
    <w:rsid w:val="00947BA1"/>
    <w:rsid w:val="00951742"/>
    <w:rsid w:val="00951D50"/>
    <w:rsid w:val="00952CDF"/>
    <w:rsid w:val="00952F9A"/>
    <w:rsid w:val="00954293"/>
    <w:rsid w:val="009551F1"/>
    <w:rsid w:val="00955E29"/>
    <w:rsid w:val="00957979"/>
    <w:rsid w:val="00961B9E"/>
    <w:rsid w:val="009673EB"/>
    <w:rsid w:val="00970695"/>
    <w:rsid w:val="00972AE3"/>
    <w:rsid w:val="009754C5"/>
    <w:rsid w:val="0098179A"/>
    <w:rsid w:val="00982873"/>
    <w:rsid w:val="009939C4"/>
    <w:rsid w:val="00995BD4"/>
    <w:rsid w:val="00997B6E"/>
    <w:rsid w:val="00997C52"/>
    <w:rsid w:val="00997C85"/>
    <w:rsid w:val="009A2185"/>
    <w:rsid w:val="009A40AB"/>
    <w:rsid w:val="009A6D67"/>
    <w:rsid w:val="009B113A"/>
    <w:rsid w:val="009B2493"/>
    <w:rsid w:val="009B3173"/>
    <w:rsid w:val="009B3891"/>
    <w:rsid w:val="009B3C2F"/>
    <w:rsid w:val="009B43F6"/>
    <w:rsid w:val="009B510E"/>
    <w:rsid w:val="009C2585"/>
    <w:rsid w:val="009C408F"/>
    <w:rsid w:val="009C4E55"/>
    <w:rsid w:val="009D239F"/>
    <w:rsid w:val="009D24D0"/>
    <w:rsid w:val="009D3149"/>
    <w:rsid w:val="009D4FE8"/>
    <w:rsid w:val="009E0DE8"/>
    <w:rsid w:val="009E1984"/>
    <w:rsid w:val="009E279B"/>
    <w:rsid w:val="009E4660"/>
    <w:rsid w:val="009E708E"/>
    <w:rsid w:val="009F09CC"/>
    <w:rsid w:val="009F0BC6"/>
    <w:rsid w:val="009F10B4"/>
    <w:rsid w:val="009F2734"/>
    <w:rsid w:val="00A0295B"/>
    <w:rsid w:val="00A047E8"/>
    <w:rsid w:val="00A0554E"/>
    <w:rsid w:val="00A06080"/>
    <w:rsid w:val="00A114A3"/>
    <w:rsid w:val="00A11581"/>
    <w:rsid w:val="00A12280"/>
    <w:rsid w:val="00A137AC"/>
    <w:rsid w:val="00A146A3"/>
    <w:rsid w:val="00A171C9"/>
    <w:rsid w:val="00A20E64"/>
    <w:rsid w:val="00A2223F"/>
    <w:rsid w:val="00A26B80"/>
    <w:rsid w:val="00A3334D"/>
    <w:rsid w:val="00A34A37"/>
    <w:rsid w:val="00A36A59"/>
    <w:rsid w:val="00A402A7"/>
    <w:rsid w:val="00A42FBB"/>
    <w:rsid w:val="00A45A18"/>
    <w:rsid w:val="00A45CFA"/>
    <w:rsid w:val="00A46E89"/>
    <w:rsid w:val="00A47A7E"/>
    <w:rsid w:val="00A50B7C"/>
    <w:rsid w:val="00A5549F"/>
    <w:rsid w:val="00A60EB1"/>
    <w:rsid w:val="00A614F9"/>
    <w:rsid w:val="00A64F2F"/>
    <w:rsid w:val="00A665F2"/>
    <w:rsid w:val="00A66FE7"/>
    <w:rsid w:val="00A67616"/>
    <w:rsid w:val="00A727AD"/>
    <w:rsid w:val="00A74A41"/>
    <w:rsid w:val="00A7598F"/>
    <w:rsid w:val="00A849C5"/>
    <w:rsid w:val="00A856DE"/>
    <w:rsid w:val="00A90335"/>
    <w:rsid w:val="00A908C4"/>
    <w:rsid w:val="00A9117A"/>
    <w:rsid w:val="00A91337"/>
    <w:rsid w:val="00A91E5C"/>
    <w:rsid w:val="00A91F0D"/>
    <w:rsid w:val="00A92417"/>
    <w:rsid w:val="00A942D0"/>
    <w:rsid w:val="00A95189"/>
    <w:rsid w:val="00A959A4"/>
    <w:rsid w:val="00AA51A4"/>
    <w:rsid w:val="00AA6392"/>
    <w:rsid w:val="00AA774F"/>
    <w:rsid w:val="00AB1751"/>
    <w:rsid w:val="00AB332B"/>
    <w:rsid w:val="00AB6258"/>
    <w:rsid w:val="00AB6AB8"/>
    <w:rsid w:val="00AB73E9"/>
    <w:rsid w:val="00AC379A"/>
    <w:rsid w:val="00AC37CE"/>
    <w:rsid w:val="00AD018C"/>
    <w:rsid w:val="00AD0F6C"/>
    <w:rsid w:val="00AD1C8C"/>
    <w:rsid w:val="00AD269B"/>
    <w:rsid w:val="00AD2C38"/>
    <w:rsid w:val="00AD5D7F"/>
    <w:rsid w:val="00AE0429"/>
    <w:rsid w:val="00AE1C95"/>
    <w:rsid w:val="00AE43D2"/>
    <w:rsid w:val="00AE4EBB"/>
    <w:rsid w:val="00AE5D99"/>
    <w:rsid w:val="00AE6D45"/>
    <w:rsid w:val="00AF13B0"/>
    <w:rsid w:val="00AF24CB"/>
    <w:rsid w:val="00AF499F"/>
    <w:rsid w:val="00AF5FC1"/>
    <w:rsid w:val="00B019BD"/>
    <w:rsid w:val="00B01DAB"/>
    <w:rsid w:val="00B02B11"/>
    <w:rsid w:val="00B11FEC"/>
    <w:rsid w:val="00B14E08"/>
    <w:rsid w:val="00B15B28"/>
    <w:rsid w:val="00B21E24"/>
    <w:rsid w:val="00B22E29"/>
    <w:rsid w:val="00B239D3"/>
    <w:rsid w:val="00B25E2D"/>
    <w:rsid w:val="00B31425"/>
    <w:rsid w:val="00B41A2B"/>
    <w:rsid w:val="00B41D63"/>
    <w:rsid w:val="00B41EAF"/>
    <w:rsid w:val="00B429D6"/>
    <w:rsid w:val="00B42F82"/>
    <w:rsid w:val="00B44E95"/>
    <w:rsid w:val="00B511DD"/>
    <w:rsid w:val="00B52F3C"/>
    <w:rsid w:val="00B535E1"/>
    <w:rsid w:val="00B60313"/>
    <w:rsid w:val="00B61258"/>
    <w:rsid w:val="00B61C9D"/>
    <w:rsid w:val="00B641A9"/>
    <w:rsid w:val="00B6522E"/>
    <w:rsid w:val="00B656C9"/>
    <w:rsid w:val="00B65964"/>
    <w:rsid w:val="00B70CF2"/>
    <w:rsid w:val="00B7150E"/>
    <w:rsid w:val="00B72562"/>
    <w:rsid w:val="00B73041"/>
    <w:rsid w:val="00B74C73"/>
    <w:rsid w:val="00B76826"/>
    <w:rsid w:val="00B831E8"/>
    <w:rsid w:val="00B848EA"/>
    <w:rsid w:val="00B876D9"/>
    <w:rsid w:val="00B87B0B"/>
    <w:rsid w:val="00B90B6F"/>
    <w:rsid w:val="00B916D1"/>
    <w:rsid w:val="00BA44C0"/>
    <w:rsid w:val="00BA4A3B"/>
    <w:rsid w:val="00BA58DA"/>
    <w:rsid w:val="00BB12EF"/>
    <w:rsid w:val="00BB49BD"/>
    <w:rsid w:val="00BB4F29"/>
    <w:rsid w:val="00BB5FFA"/>
    <w:rsid w:val="00BC0712"/>
    <w:rsid w:val="00BC3837"/>
    <w:rsid w:val="00BC3DEE"/>
    <w:rsid w:val="00BD102A"/>
    <w:rsid w:val="00BD10EB"/>
    <w:rsid w:val="00BD151D"/>
    <w:rsid w:val="00BD1710"/>
    <w:rsid w:val="00BD38B4"/>
    <w:rsid w:val="00BD464B"/>
    <w:rsid w:val="00BD49ED"/>
    <w:rsid w:val="00BD53F9"/>
    <w:rsid w:val="00BD56AA"/>
    <w:rsid w:val="00BE177B"/>
    <w:rsid w:val="00BE27F4"/>
    <w:rsid w:val="00BE5FAF"/>
    <w:rsid w:val="00BF0091"/>
    <w:rsid w:val="00BF411D"/>
    <w:rsid w:val="00BF419E"/>
    <w:rsid w:val="00BF49A3"/>
    <w:rsid w:val="00BF4D9F"/>
    <w:rsid w:val="00BF7253"/>
    <w:rsid w:val="00BF7409"/>
    <w:rsid w:val="00BF7A86"/>
    <w:rsid w:val="00C01E06"/>
    <w:rsid w:val="00C01F2E"/>
    <w:rsid w:val="00C02271"/>
    <w:rsid w:val="00C04DCF"/>
    <w:rsid w:val="00C06639"/>
    <w:rsid w:val="00C06AC8"/>
    <w:rsid w:val="00C110C8"/>
    <w:rsid w:val="00C13D00"/>
    <w:rsid w:val="00C20620"/>
    <w:rsid w:val="00C20DAF"/>
    <w:rsid w:val="00C2331D"/>
    <w:rsid w:val="00C24BC2"/>
    <w:rsid w:val="00C2754E"/>
    <w:rsid w:val="00C3003E"/>
    <w:rsid w:val="00C30AF1"/>
    <w:rsid w:val="00C31AEC"/>
    <w:rsid w:val="00C37219"/>
    <w:rsid w:val="00C40E2B"/>
    <w:rsid w:val="00C42F32"/>
    <w:rsid w:val="00C43131"/>
    <w:rsid w:val="00C432D5"/>
    <w:rsid w:val="00C44385"/>
    <w:rsid w:val="00C4464E"/>
    <w:rsid w:val="00C44657"/>
    <w:rsid w:val="00C471A0"/>
    <w:rsid w:val="00C47306"/>
    <w:rsid w:val="00C4755C"/>
    <w:rsid w:val="00C479B5"/>
    <w:rsid w:val="00C51046"/>
    <w:rsid w:val="00C54B25"/>
    <w:rsid w:val="00C62CC8"/>
    <w:rsid w:val="00C62E45"/>
    <w:rsid w:val="00C63B35"/>
    <w:rsid w:val="00C646FD"/>
    <w:rsid w:val="00C65D58"/>
    <w:rsid w:val="00C7377D"/>
    <w:rsid w:val="00C77E0C"/>
    <w:rsid w:val="00C80026"/>
    <w:rsid w:val="00C8067B"/>
    <w:rsid w:val="00C81B2F"/>
    <w:rsid w:val="00C828B9"/>
    <w:rsid w:val="00C84832"/>
    <w:rsid w:val="00C902A2"/>
    <w:rsid w:val="00C919AD"/>
    <w:rsid w:val="00C9238D"/>
    <w:rsid w:val="00C96368"/>
    <w:rsid w:val="00C9671C"/>
    <w:rsid w:val="00C97056"/>
    <w:rsid w:val="00C97A0B"/>
    <w:rsid w:val="00CA3C59"/>
    <w:rsid w:val="00CA5C86"/>
    <w:rsid w:val="00CA720E"/>
    <w:rsid w:val="00CA7FC1"/>
    <w:rsid w:val="00CB3614"/>
    <w:rsid w:val="00CB6B3D"/>
    <w:rsid w:val="00CC069A"/>
    <w:rsid w:val="00CC147F"/>
    <w:rsid w:val="00CC3FD6"/>
    <w:rsid w:val="00CC66CA"/>
    <w:rsid w:val="00CD059D"/>
    <w:rsid w:val="00CD226A"/>
    <w:rsid w:val="00CD2709"/>
    <w:rsid w:val="00CD36E1"/>
    <w:rsid w:val="00CD41AB"/>
    <w:rsid w:val="00CD543C"/>
    <w:rsid w:val="00CD7E0F"/>
    <w:rsid w:val="00CD7E7A"/>
    <w:rsid w:val="00CE0458"/>
    <w:rsid w:val="00CE21E6"/>
    <w:rsid w:val="00CE463A"/>
    <w:rsid w:val="00CE4BE0"/>
    <w:rsid w:val="00CE5BB0"/>
    <w:rsid w:val="00CE6282"/>
    <w:rsid w:val="00CE6F0E"/>
    <w:rsid w:val="00CE7E75"/>
    <w:rsid w:val="00CF0B5D"/>
    <w:rsid w:val="00CF258A"/>
    <w:rsid w:val="00CF53F8"/>
    <w:rsid w:val="00CF56D3"/>
    <w:rsid w:val="00D0099D"/>
    <w:rsid w:val="00D03B3F"/>
    <w:rsid w:val="00D04BFD"/>
    <w:rsid w:val="00D06F53"/>
    <w:rsid w:val="00D07076"/>
    <w:rsid w:val="00D101E2"/>
    <w:rsid w:val="00D10670"/>
    <w:rsid w:val="00D119C9"/>
    <w:rsid w:val="00D11D40"/>
    <w:rsid w:val="00D12019"/>
    <w:rsid w:val="00D135B6"/>
    <w:rsid w:val="00D1478E"/>
    <w:rsid w:val="00D152F0"/>
    <w:rsid w:val="00D15D95"/>
    <w:rsid w:val="00D23248"/>
    <w:rsid w:val="00D23355"/>
    <w:rsid w:val="00D24235"/>
    <w:rsid w:val="00D31222"/>
    <w:rsid w:val="00D317CB"/>
    <w:rsid w:val="00D318F1"/>
    <w:rsid w:val="00D404C0"/>
    <w:rsid w:val="00D437C7"/>
    <w:rsid w:val="00D43B16"/>
    <w:rsid w:val="00D44C75"/>
    <w:rsid w:val="00D4782C"/>
    <w:rsid w:val="00D50C63"/>
    <w:rsid w:val="00D56281"/>
    <w:rsid w:val="00D60F42"/>
    <w:rsid w:val="00D61653"/>
    <w:rsid w:val="00D62C1A"/>
    <w:rsid w:val="00D63C2A"/>
    <w:rsid w:val="00D649B9"/>
    <w:rsid w:val="00D65DAC"/>
    <w:rsid w:val="00D65EC8"/>
    <w:rsid w:val="00D67723"/>
    <w:rsid w:val="00D67D61"/>
    <w:rsid w:val="00D70123"/>
    <w:rsid w:val="00D8413D"/>
    <w:rsid w:val="00D84420"/>
    <w:rsid w:val="00D90AEC"/>
    <w:rsid w:val="00D93987"/>
    <w:rsid w:val="00D94C21"/>
    <w:rsid w:val="00DA2AB3"/>
    <w:rsid w:val="00DA6431"/>
    <w:rsid w:val="00DA7705"/>
    <w:rsid w:val="00DB39C7"/>
    <w:rsid w:val="00DB4A02"/>
    <w:rsid w:val="00DB643B"/>
    <w:rsid w:val="00DC1AD2"/>
    <w:rsid w:val="00DC2942"/>
    <w:rsid w:val="00DC31B8"/>
    <w:rsid w:val="00DC32DD"/>
    <w:rsid w:val="00DC3CC2"/>
    <w:rsid w:val="00DC4387"/>
    <w:rsid w:val="00DC5B37"/>
    <w:rsid w:val="00DC6EDB"/>
    <w:rsid w:val="00DD0608"/>
    <w:rsid w:val="00DD0E7B"/>
    <w:rsid w:val="00DD159B"/>
    <w:rsid w:val="00DD2F64"/>
    <w:rsid w:val="00DD5BE9"/>
    <w:rsid w:val="00DD5D3A"/>
    <w:rsid w:val="00DE1C56"/>
    <w:rsid w:val="00DE4D22"/>
    <w:rsid w:val="00DE7709"/>
    <w:rsid w:val="00DF1C31"/>
    <w:rsid w:val="00DF481C"/>
    <w:rsid w:val="00DF5B79"/>
    <w:rsid w:val="00E00F8E"/>
    <w:rsid w:val="00E01CEF"/>
    <w:rsid w:val="00E0308D"/>
    <w:rsid w:val="00E03BC6"/>
    <w:rsid w:val="00E03C3F"/>
    <w:rsid w:val="00E079CE"/>
    <w:rsid w:val="00E14D2A"/>
    <w:rsid w:val="00E16219"/>
    <w:rsid w:val="00E209EC"/>
    <w:rsid w:val="00E226BF"/>
    <w:rsid w:val="00E24D1B"/>
    <w:rsid w:val="00E2544C"/>
    <w:rsid w:val="00E26767"/>
    <w:rsid w:val="00E326F8"/>
    <w:rsid w:val="00E34FD9"/>
    <w:rsid w:val="00E357CC"/>
    <w:rsid w:val="00E37271"/>
    <w:rsid w:val="00E40BFD"/>
    <w:rsid w:val="00E42D01"/>
    <w:rsid w:val="00E50F03"/>
    <w:rsid w:val="00E5431E"/>
    <w:rsid w:val="00E54589"/>
    <w:rsid w:val="00E55612"/>
    <w:rsid w:val="00E561C2"/>
    <w:rsid w:val="00E64126"/>
    <w:rsid w:val="00E66261"/>
    <w:rsid w:val="00E7029B"/>
    <w:rsid w:val="00E707EC"/>
    <w:rsid w:val="00E713A6"/>
    <w:rsid w:val="00E76D6B"/>
    <w:rsid w:val="00E77809"/>
    <w:rsid w:val="00E77C1C"/>
    <w:rsid w:val="00E81E6A"/>
    <w:rsid w:val="00E82D36"/>
    <w:rsid w:val="00E8323A"/>
    <w:rsid w:val="00E83924"/>
    <w:rsid w:val="00E86FAD"/>
    <w:rsid w:val="00E9053F"/>
    <w:rsid w:val="00E92717"/>
    <w:rsid w:val="00EA1659"/>
    <w:rsid w:val="00EA24AC"/>
    <w:rsid w:val="00EA2AA4"/>
    <w:rsid w:val="00EA2CBF"/>
    <w:rsid w:val="00EA3843"/>
    <w:rsid w:val="00EA4474"/>
    <w:rsid w:val="00EB2CEB"/>
    <w:rsid w:val="00EB30C2"/>
    <w:rsid w:val="00EB51D9"/>
    <w:rsid w:val="00EB57F8"/>
    <w:rsid w:val="00EB6332"/>
    <w:rsid w:val="00EC0CC0"/>
    <w:rsid w:val="00EC37E2"/>
    <w:rsid w:val="00EC6A04"/>
    <w:rsid w:val="00ED4354"/>
    <w:rsid w:val="00ED7112"/>
    <w:rsid w:val="00EE02B0"/>
    <w:rsid w:val="00EE04C0"/>
    <w:rsid w:val="00EE20D8"/>
    <w:rsid w:val="00EE21DE"/>
    <w:rsid w:val="00EE3923"/>
    <w:rsid w:val="00EF25E4"/>
    <w:rsid w:val="00EF6C4C"/>
    <w:rsid w:val="00F01EB2"/>
    <w:rsid w:val="00F02546"/>
    <w:rsid w:val="00F0267F"/>
    <w:rsid w:val="00F04691"/>
    <w:rsid w:val="00F062AB"/>
    <w:rsid w:val="00F0635A"/>
    <w:rsid w:val="00F10A1C"/>
    <w:rsid w:val="00F114FF"/>
    <w:rsid w:val="00F155A9"/>
    <w:rsid w:val="00F16380"/>
    <w:rsid w:val="00F2258B"/>
    <w:rsid w:val="00F25C18"/>
    <w:rsid w:val="00F2604A"/>
    <w:rsid w:val="00F2627D"/>
    <w:rsid w:val="00F27269"/>
    <w:rsid w:val="00F30662"/>
    <w:rsid w:val="00F331D9"/>
    <w:rsid w:val="00F372F0"/>
    <w:rsid w:val="00F42DE3"/>
    <w:rsid w:val="00F44482"/>
    <w:rsid w:val="00F45BC2"/>
    <w:rsid w:val="00F46346"/>
    <w:rsid w:val="00F517D6"/>
    <w:rsid w:val="00F525F8"/>
    <w:rsid w:val="00F539DF"/>
    <w:rsid w:val="00F54620"/>
    <w:rsid w:val="00F55443"/>
    <w:rsid w:val="00F56AE9"/>
    <w:rsid w:val="00F57AB5"/>
    <w:rsid w:val="00F604A3"/>
    <w:rsid w:val="00F6351F"/>
    <w:rsid w:val="00F65088"/>
    <w:rsid w:val="00F652B3"/>
    <w:rsid w:val="00F65AF5"/>
    <w:rsid w:val="00F66BA3"/>
    <w:rsid w:val="00F66EC5"/>
    <w:rsid w:val="00F70390"/>
    <w:rsid w:val="00F70C7E"/>
    <w:rsid w:val="00F717B7"/>
    <w:rsid w:val="00F741EE"/>
    <w:rsid w:val="00F74D5E"/>
    <w:rsid w:val="00F76D26"/>
    <w:rsid w:val="00F77210"/>
    <w:rsid w:val="00F81D1A"/>
    <w:rsid w:val="00F8335B"/>
    <w:rsid w:val="00F87572"/>
    <w:rsid w:val="00F9374E"/>
    <w:rsid w:val="00FA0E65"/>
    <w:rsid w:val="00FB5F38"/>
    <w:rsid w:val="00FB6B57"/>
    <w:rsid w:val="00FC0248"/>
    <w:rsid w:val="00FC2B2E"/>
    <w:rsid w:val="00FC3814"/>
    <w:rsid w:val="00FC500C"/>
    <w:rsid w:val="00FD15FC"/>
    <w:rsid w:val="00FD1B4C"/>
    <w:rsid w:val="00FD4C4D"/>
    <w:rsid w:val="00FD60E4"/>
    <w:rsid w:val="00FD679B"/>
    <w:rsid w:val="00FD6F36"/>
    <w:rsid w:val="00FE08EF"/>
    <w:rsid w:val="00FE3E83"/>
    <w:rsid w:val="00FE3EA4"/>
    <w:rsid w:val="00FF333B"/>
    <w:rsid w:val="00FF43A8"/>
    <w:rsid w:val="00FF4504"/>
    <w:rsid w:val="00FF67AD"/>
    <w:rsid w:val="00FF6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9D0D730"/>
  <w15:docId w15:val="{6DBCA73D-C89D-584E-8A8B-6CA5680EF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sid w:val="00E92717"/>
    <w:pPr>
      <w:widowControl w:val="0"/>
      <w:jc w:val="both"/>
    </w:pPr>
    <w:rPr>
      <w:szCs w:val="24"/>
    </w:rPr>
  </w:style>
  <w:style w:type="paragraph" w:styleId="Judul1">
    <w:name w:val="heading 1"/>
    <w:basedOn w:val="Normal"/>
    <w:next w:val="Normal"/>
    <w:link w:val="Judul1KAR"/>
    <w:qFormat/>
    <w:rsid w:val="00A0295B"/>
    <w:pPr>
      <w:keepNext/>
      <w:spacing w:before="240" w:after="60"/>
      <w:outlineLvl w:val="0"/>
    </w:pPr>
    <w:rPr>
      <w:rFonts w:ascii="Arial" w:hAnsi="Arial" w:cs="Arial"/>
      <w:b/>
      <w:bCs/>
      <w:kern w:val="32"/>
      <w:sz w:val="32"/>
      <w:szCs w:val="32"/>
    </w:rPr>
  </w:style>
  <w:style w:type="paragraph" w:styleId="Judul2">
    <w:name w:val="heading 2"/>
    <w:basedOn w:val="Normal"/>
    <w:next w:val="Normal"/>
    <w:link w:val="Judul2KAR"/>
    <w:qFormat/>
    <w:rsid w:val="00A0295B"/>
    <w:pPr>
      <w:keepNext/>
      <w:spacing w:before="240" w:after="60"/>
      <w:outlineLvl w:val="1"/>
    </w:pPr>
    <w:rPr>
      <w:rFonts w:ascii="Arial" w:hAnsi="Arial" w:cs="Arial"/>
      <w:b/>
      <w:bCs/>
      <w:i/>
      <w:iCs/>
      <w:sz w:val="28"/>
      <w:szCs w:val="28"/>
    </w:rPr>
  </w:style>
  <w:style w:type="paragraph" w:styleId="Judul3">
    <w:name w:val="heading 3"/>
    <w:basedOn w:val="Normal"/>
    <w:next w:val="Normal"/>
    <w:link w:val="Judul3KAR"/>
    <w:qFormat/>
    <w:rsid w:val="00A0295B"/>
    <w:pPr>
      <w:keepNext/>
      <w:spacing w:before="240" w:after="60"/>
      <w:outlineLvl w:val="2"/>
    </w:pPr>
    <w:rPr>
      <w:rFonts w:ascii="Arial" w:hAnsi="Arial" w:cs="Arial"/>
      <w:b/>
      <w:bCs/>
      <w:sz w:val="26"/>
      <w:szCs w:val="26"/>
    </w:rPr>
  </w:style>
  <w:style w:type="paragraph" w:styleId="Judul4">
    <w:name w:val="heading 4"/>
    <w:basedOn w:val="Normal"/>
    <w:next w:val="Normal"/>
    <w:link w:val="Judul4KAR"/>
    <w:qFormat/>
    <w:rsid w:val="00A727AD"/>
    <w:pPr>
      <w:keepNext/>
      <w:widowControl/>
      <w:outlineLvl w:val="3"/>
    </w:pPr>
    <w:rPr>
      <w:rFonts w:eastAsia="MS Mincho"/>
      <w:i/>
      <w:iCs/>
      <w:sz w:val="24"/>
      <w:lang w:val="en-GB" w:eastAsia="ja-JP"/>
    </w:rPr>
  </w:style>
  <w:style w:type="paragraph" w:styleId="Judul5">
    <w:name w:val="heading 5"/>
    <w:basedOn w:val="Normal"/>
    <w:link w:val="Judul5KAR"/>
    <w:qFormat/>
    <w:rsid w:val="0048309C"/>
    <w:pPr>
      <w:widowControl/>
      <w:spacing w:before="100" w:beforeAutospacing="1" w:after="100" w:afterAutospacing="1"/>
      <w:jc w:val="left"/>
      <w:outlineLvl w:val="4"/>
    </w:pPr>
    <w:rPr>
      <w:b/>
      <w:bCs/>
      <w:szCs w:val="20"/>
      <w:lang w:val="id-ID" w:eastAsia="id-ID"/>
    </w:rPr>
  </w:style>
  <w:style w:type="paragraph" w:styleId="Judul6">
    <w:name w:val="heading 6"/>
    <w:basedOn w:val="Normal"/>
    <w:next w:val="Normal"/>
    <w:link w:val="Judul6KAR"/>
    <w:qFormat/>
    <w:rsid w:val="00A727AD"/>
    <w:pPr>
      <w:keepNext/>
      <w:widowControl/>
      <w:jc w:val="center"/>
      <w:outlineLvl w:val="5"/>
    </w:pPr>
    <w:rPr>
      <w:rFonts w:eastAsia="MS Mincho"/>
      <w:i/>
      <w:iCs/>
      <w:sz w:val="24"/>
      <w:lang w:val="en-GB" w:eastAsia="ja-JP"/>
    </w:rPr>
  </w:style>
  <w:style w:type="paragraph" w:styleId="Judul7">
    <w:name w:val="heading 7"/>
    <w:basedOn w:val="Normal"/>
    <w:next w:val="Normal"/>
    <w:link w:val="Judul7KAR"/>
    <w:qFormat/>
    <w:rsid w:val="00125AB4"/>
    <w:pPr>
      <w:widowControl/>
      <w:spacing w:before="240" w:after="60"/>
      <w:jc w:val="center"/>
      <w:outlineLvl w:val="6"/>
    </w:pPr>
    <w:rPr>
      <w:sz w:val="24"/>
      <w:lang w:val="id-ID"/>
    </w:rPr>
  </w:style>
  <w:style w:type="paragraph" w:styleId="Judul8">
    <w:name w:val="heading 8"/>
    <w:basedOn w:val="Normal"/>
    <w:next w:val="Normal"/>
    <w:qFormat/>
    <w:rsid w:val="00F55443"/>
    <w:pPr>
      <w:widowControl/>
      <w:spacing w:before="240" w:after="60"/>
      <w:jc w:val="left"/>
      <w:outlineLvl w:val="7"/>
    </w:pPr>
    <w:rPr>
      <w:i/>
      <w:iCs/>
      <w:sz w:val="24"/>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link w:val="Judul1"/>
    <w:rsid w:val="00125AB4"/>
    <w:rPr>
      <w:rFonts w:ascii="Arial" w:hAnsi="Arial" w:cs="Arial"/>
      <w:b/>
      <w:bCs/>
      <w:kern w:val="32"/>
      <w:sz w:val="32"/>
      <w:szCs w:val="32"/>
      <w:lang w:val="en-US" w:eastAsia="en-US" w:bidi="ar-SA"/>
    </w:rPr>
  </w:style>
  <w:style w:type="character" w:customStyle="1" w:styleId="Judul2KAR">
    <w:name w:val="Judul 2 KAR"/>
    <w:link w:val="Judul2"/>
    <w:rsid w:val="00A727AD"/>
    <w:rPr>
      <w:rFonts w:ascii="Arial" w:hAnsi="Arial" w:cs="Arial"/>
      <w:b/>
      <w:bCs/>
      <w:i/>
      <w:iCs/>
      <w:sz w:val="28"/>
      <w:szCs w:val="28"/>
      <w:lang w:val="en-US" w:eastAsia="en-US" w:bidi="ar-SA"/>
    </w:rPr>
  </w:style>
  <w:style w:type="character" w:customStyle="1" w:styleId="Judul3KAR">
    <w:name w:val="Judul 3 KAR"/>
    <w:link w:val="Judul3"/>
    <w:rsid w:val="00125AB4"/>
    <w:rPr>
      <w:rFonts w:ascii="Arial" w:hAnsi="Arial" w:cs="Arial"/>
      <w:b/>
      <w:bCs/>
      <w:sz w:val="26"/>
      <w:szCs w:val="26"/>
      <w:lang w:val="en-US" w:eastAsia="en-US" w:bidi="ar-SA"/>
    </w:rPr>
  </w:style>
  <w:style w:type="character" w:customStyle="1" w:styleId="Judul4KAR">
    <w:name w:val="Judul 4 KAR"/>
    <w:link w:val="Judul4"/>
    <w:semiHidden/>
    <w:rsid w:val="00125AB4"/>
    <w:rPr>
      <w:rFonts w:eastAsia="MS Mincho"/>
      <w:i/>
      <w:iCs/>
      <w:sz w:val="24"/>
      <w:szCs w:val="24"/>
      <w:lang w:val="en-GB" w:eastAsia="ja-JP" w:bidi="ar-SA"/>
    </w:rPr>
  </w:style>
  <w:style w:type="character" w:customStyle="1" w:styleId="Judul5KAR">
    <w:name w:val="Judul 5 KAR"/>
    <w:link w:val="Judul5"/>
    <w:rsid w:val="0048309C"/>
    <w:rPr>
      <w:b/>
      <w:bCs/>
      <w:lang w:val="id-ID" w:eastAsia="id-ID" w:bidi="ar-SA"/>
    </w:rPr>
  </w:style>
  <w:style w:type="character" w:customStyle="1" w:styleId="Judul6KAR">
    <w:name w:val="Judul 6 KAR"/>
    <w:link w:val="Judul6"/>
    <w:rsid w:val="00125AB4"/>
    <w:rPr>
      <w:rFonts w:eastAsia="MS Mincho"/>
      <w:i/>
      <w:iCs/>
      <w:sz w:val="24"/>
      <w:szCs w:val="24"/>
      <w:lang w:val="en-GB" w:eastAsia="ja-JP" w:bidi="ar-SA"/>
    </w:rPr>
  </w:style>
  <w:style w:type="character" w:customStyle="1" w:styleId="Judul7KAR">
    <w:name w:val="Judul 7 KAR"/>
    <w:link w:val="Judul7"/>
    <w:rsid w:val="00125AB4"/>
    <w:rPr>
      <w:sz w:val="24"/>
      <w:szCs w:val="24"/>
      <w:lang w:val="id-ID" w:eastAsia="en-US" w:bidi="ar-SA"/>
    </w:rPr>
  </w:style>
  <w:style w:type="paragraph" w:customStyle="1" w:styleId="Ventura-Heading">
    <w:name w:val="Ventura-Heading"/>
    <w:basedOn w:val="Normal"/>
    <w:semiHidden/>
    <w:rsid w:val="005C33B0"/>
    <w:pPr>
      <w:ind w:left="450" w:hanging="450"/>
    </w:pPr>
    <w:rPr>
      <w:bCs/>
      <w:snapToGrid w:val="0"/>
      <w:szCs w:val="20"/>
    </w:rPr>
  </w:style>
  <w:style w:type="paragraph" w:customStyle="1" w:styleId="VenturaTitle">
    <w:name w:val="Ventura Title"/>
    <w:basedOn w:val="Normal"/>
    <w:rsid w:val="00BD53F9"/>
    <w:pPr>
      <w:spacing w:before="240" w:after="240"/>
      <w:contextualSpacing/>
    </w:pPr>
    <w:rPr>
      <w:rFonts w:ascii="Book Antiqua" w:hAnsi="Book Antiqua"/>
      <w:sz w:val="32"/>
      <w:szCs w:val="26"/>
    </w:rPr>
  </w:style>
  <w:style w:type="paragraph" w:customStyle="1" w:styleId="Ventura-Author">
    <w:name w:val="Ventura-Author"/>
    <w:basedOn w:val="Normal"/>
    <w:link w:val="Ventura-AuthorChar"/>
    <w:rsid w:val="00BD53F9"/>
    <w:rPr>
      <w:rFonts w:ascii="Book Antiqua" w:hAnsi="Book Antiqua"/>
      <w:sz w:val="24"/>
    </w:rPr>
  </w:style>
  <w:style w:type="character" w:customStyle="1" w:styleId="Ventura-AuthorChar">
    <w:name w:val="Ventura-Author Char"/>
    <w:link w:val="Ventura-Author"/>
    <w:rsid w:val="004F3EB2"/>
    <w:rPr>
      <w:rFonts w:ascii="Book Antiqua" w:hAnsi="Book Antiqua"/>
      <w:sz w:val="24"/>
      <w:szCs w:val="24"/>
      <w:lang w:val="en-US" w:eastAsia="en-US" w:bidi="ar-SA"/>
    </w:rPr>
  </w:style>
  <w:style w:type="paragraph" w:customStyle="1" w:styleId="Ventura-AuthorAddress">
    <w:name w:val="Ventura-AuthorAddress"/>
    <w:basedOn w:val="Normal"/>
    <w:rsid w:val="00BD53F9"/>
    <w:rPr>
      <w:i/>
    </w:rPr>
  </w:style>
  <w:style w:type="paragraph" w:customStyle="1" w:styleId="Ventura-AbstractTitle">
    <w:name w:val="Ventura-AbstractTitle"/>
    <w:basedOn w:val="Normal"/>
    <w:rsid w:val="006471BA"/>
    <w:pPr>
      <w:spacing w:after="120"/>
    </w:pPr>
    <w:rPr>
      <w:caps/>
      <w:spacing w:val="70"/>
      <w:sz w:val="22"/>
    </w:rPr>
  </w:style>
  <w:style w:type="paragraph" w:customStyle="1" w:styleId="Ventura-Abstract">
    <w:name w:val="Ventura-Abstract"/>
    <w:basedOn w:val="Normal"/>
    <w:link w:val="Ventura-AbstractChar"/>
    <w:rsid w:val="00DE4D22"/>
    <w:rPr>
      <w:rFonts w:ascii="Book Antiqua" w:hAnsi="Book Antiqua"/>
      <w:i/>
      <w:spacing w:val="2"/>
      <w:sz w:val="18"/>
    </w:rPr>
  </w:style>
  <w:style w:type="character" w:customStyle="1" w:styleId="Ventura-AbstractChar">
    <w:name w:val="Ventura-Abstract Char"/>
    <w:link w:val="Ventura-Abstract"/>
    <w:rsid w:val="00DE4D22"/>
    <w:rPr>
      <w:rFonts w:ascii="Book Antiqua" w:hAnsi="Book Antiqua"/>
      <w:i/>
      <w:spacing w:val="2"/>
      <w:sz w:val="18"/>
      <w:szCs w:val="24"/>
      <w:lang w:val="en-US" w:eastAsia="en-US" w:bidi="ar-SA"/>
    </w:rPr>
  </w:style>
  <w:style w:type="paragraph" w:customStyle="1" w:styleId="Ventura-Keyword">
    <w:name w:val="Ventura-Keyword"/>
    <w:basedOn w:val="Ventura-Abstract"/>
    <w:link w:val="Ventura-KeywordChar"/>
    <w:rsid w:val="00DC3CC2"/>
    <w:pPr>
      <w:jc w:val="left"/>
    </w:pPr>
  </w:style>
  <w:style w:type="character" w:customStyle="1" w:styleId="Ventura-KeywordChar">
    <w:name w:val="Ventura-Keyword Char"/>
    <w:link w:val="Ventura-Keyword"/>
    <w:rsid w:val="00DC3CC2"/>
    <w:rPr>
      <w:rFonts w:ascii="Book Antiqua" w:hAnsi="Book Antiqua"/>
      <w:i/>
      <w:spacing w:val="2"/>
      <w:sz w:val="18"/>
      <w:szCs w:val="24"/>
      <w:lang w:val="en-US" w:eastAsia="en-US" w:bidi="ar-SA"/>
    </w:rPr>
  </w:style>
  <w:style w:type="paragraph" w:customStyle="1" w:styleId="Ventura-Heading1">
    <w:name w:val="Ventura-Heading1"/>
    <w:basedOn w:val="Normal"/>
    <w:link w:val="Ventura-Heading1Char"/>
    <w:rsid w:val="0061090C"/>
    <w:rPr>
      <w:rFonts w:ascii="Book Antiqua" w:hAnsi="Book Antiqua"/>
      <w:b/>
      <w:caps/>
    </w:rPr>
  </w:style>
  <w:style w:type="character" w:customStyle="1" w:styleId="Ventura-Heading1Char">
    <w:name w:val="Ventura-Heading1 Char"/>
    <w:link w:val="Ventura-Heading1"/>
    <w:rsid w:val="0061090C"/>
    <w:rPr>
      <w:rFonts w:ascii="Book Antiqua" w:hAnsi="Book Antiqua"/>
      <w:b/>
      <w:caps/>
      <w:szCs w:val="24"/>
      <w:lang w:val="en-US" w:eastAsia="en-US" w:bidi="ar-SA"/>
    </w:rPr>
  </w:style>
  <w:style w:type="paragraph" w:customStyle="1" w:styleId="Ventura-Content">
    <w:name w:val="Ventura-Content"/>
    <w:basedOn w:val="Normal"/>
    <w:link w:val="Ventura-ContentChar"/>
    <w:rsid w:val="005F0BBB"/>
    <w:pPr>
      <w:ind w:firstLine="397"/>
    </w:pPr>
    <w:rPr>
      <w:rFonts w:ascii="Book Antiqua" w:hAnsi="Book Antiqua"/>
    </w:rPr>
  </w:style>
  <w:style w:type="character" w:customStyle="1" w:styleId="Ventura-ContentChar">
    <w:name w:val="Ventura-Content Char"/>
    <w:link w:val="Ventura-Content"/>
    <w:rsid w:val="005F0BBB"/>
    <w:rPr>
      <w:rFonts w:ascii="Book Antiqua" w:hAnsi="Book Antiqua"/>
      <w:szCs w:val="24"/>
      <w:lang w:val="en-US" w:eastAsia="en-US" w:bidi="ar-SA"/>
    </w:rPr>
  </w:style>
  <w:style w:type="paragraph" w:customStyle="1" w:styleId="Ventura-Heading2">
    <w:name w:val="Ventura-Heading2"/>
    <w:basedOn w:val="Normal"/>
    <w:link w:val="Ventura-Heading2Char"/>
    <w:rsid w:val="00E03BC6"/>
    <w:rPr>
      <w:rFonts w:ascii="Book Antiqua" w:hAnsi="Book Antiqua"/>
      <w:b/>
    </w:rPr>
  </w:style>
  <w:style w:type="character" w:customStyle="1" w:styleId="Ventura-Heading2Char">
    <w:name w:val="Ventura-Heading2 Char"/>
    <w:link w:val="Ventura-Heading2"/>
    <w:rsid w:val="00E03BC6"/>
    <w:rPr>
      <w:rFonts w:ascii="Book Antiqua" w:hAnsi="Book Antiqua"/>
      <w:b/>
      <w:szCs w:val="24"/>
      <w:lang w:val="en-US" w:eastAsia="en-US" w:bidi="ar-SA"/>
    </w:rPr>
  </w:style>
  <w:style w:type="paragraph" w:customStyle="1" w:styleId="Ventura-Formula">
    <w:name w:val="Ventura-Formula"/>
    <w:basedOn w:val="Ventura-Content"/>
    <w:link w:val="Ventura-FormulaChar"/>
    <w:rsid w:val="00292DA8"/>
    <w:pPr>
      <w:tabs>
        <w:tab w:val="right" w:pos="4621"/>
      </w:tabs>
      <w:ind w:firstLine="0"/>
    </w:pPr>
  </w:style>
  <w:style w:type="character" w:customStyle="1" w:styleId="Ventura-FormulaChar">
    <w:name w:val="Ventura-Formula Char"/>
    <w:link w:val="Ventura-Formula"/>
    <w:rsid w:val="001133B8"/>
    <w:rPr>
      <w:rFonts w:ascii="Book Antiqua" w:hAnsi="Book Antiqua"/>
      <w:szCs w:val="24"/>
      <w:lang w:val="en-US" w:eastAsia="en-US" w:bidi="ar-SA"/>
    </w:rPr>
  </w:style>
  <w:style w:type="paragraph" w:customStyle="1" w:styleId="Ventura-ContentContinue">
    <w:name w:val="Ventura-ContentContinue"/>
    <w:basedOn w:val="Ventura-Content"/>
    <w:rsid w:val="00074E0C"/>
    <w:pPr>
      <w:ind w:firstLine="0"/>
    </w:pPr>
  </w:style>
  <w:style w:type="paragraph" w:customStyle="1" w:styleId="Ventura-FigureTitle">
    <w:name w:val="Ventura-FigureTitle"/>
    <w:basedOn w:val="Normal"/>
    <w:rsid w:val="00511A21"/>
    <w:pPr>
      <w:jc w:val="center"/>
    </w:pPr>
    <w:rPr>
      <w:b/>
      <w:sz w:val="22"/>
    </w:rPr>
  </w:style>
  <w:style w:type="paragraph" w:styleId="Header">
    <w:name w:val="header"/>
    <w:aliases w:val="Persen,Ventura-Header"/>
    <w:basedOn w:val="Normal"/>
    <w:link w:val="HeaderKAR"/>
    <w:uiPriority w:val="99"/>
    <w:rsid w:val="00BD53F9"/>
    <w:pPr>
      <w:tabs>
        <w:tab w:val="right" w:pos="8789"/>
      </w:tabs>
    </w:pPr>
    <w:rPr>
      <w:rFonts w:ascii="Book Antiqua" w:hAnsi="Book Antiqua"/>
    </w:rPr>
  </w:style>
  <w:style w:type="character" w:customStyle="1" w:styleId="HeaderKAR">
    <w:name w:val="Header KAR"/>
    <w:aliases w:val="Persen KAR,Ventura-Header KAR"/>
    <w:link w:val="Header"/>
    <w:uiPriority w:val="99"/>
    <w:rsid w:val="00125AB4"/>
    <w:rPr>
      <w:rFonts w:ascii="Book Antiqua" w:hAnsi="Book Antiqua"/>
      <w:szCs w:val="24"/>
      <w:lang w:val="en-US" w:eastAsia="en-US" w:bidi="ar-SA"/>
    </w:rPr>
  </w:style>
  <w:style w:type="paragraph" w:styleId="Footer">
    <w:name w:val="footer"/>
    <w:aliases w:val="Footer Char Char Char,Footer Char Char Char Char"/>
    <w:basedOn w:val="Normal"/>
    <w:link w:val="FooterKAR"/>
    <w:uiPriority w:val="99"/>
    <w:rsid w:val="00511A21"/>
    <w:pPr>
      <w:jc w:val="center"/>
    </w:pPr>
    <w:rPr>
      <w:sz w:val="24"/>
    </w:rPr>
  </w:style>
  <w:style w:type="character" w:customStyle="1" w:styleId="FooterKAR">
    <w:name w:val="Footer KAR"/>
    <w:aliases w:val="Footer Char Char Char KAR,Footer Char Char Char Char KAR"/>
    <w:link w:val="Footer"/>
    <w:uiPriority w:val="99"/>
    <w:rsid w:val="004016BE"/>
    <w:rPr>
      <w:sz w:val="24"/>
      <w:szCs w:val="24"/>
      <w:lang w:val="en-US" w:eastAsia="en-US"/>
    </w:rPr>
  </w:style>
  <w:style w:type="character" w:styleId="NomorHalaman">
    <w:name w:val="page number"/>
    <w:uiPriority w:val="99"/>
    <w:rsid w:val="00511A21"/>
    <w:rPr>
      <w:sz w:val="24"/>
    </w:rPr>
  </w:style>
  <w:style w:type="paragraph" w:customStyle="1" w:styleId="Ventura-Reference">
    <w:name w:val="Ventura-Reference"/>
    <w:basedOn w:val="Normal"/>
    <w:link w:val="Ventura-ReferenceChar"/>
    <w:rsid w:val="0061090C"/>
    <w:pPr>
      <w:ind w:left="397" w:hanging="397"/>
    </w:pPr>
    <w:rPr>
      <w:rFonts w:ascii="Book Antiqua" w:hAnsi="Book Antiqua"/>
    </w:rPr>
  </w:style>
  <w:style w:type="character" w:customStyle="1" w:styleId="Ventura-ReferenceChar">
    <w:name w:val="Ventura-Reference Char"/>
    <w:link w:val="Ventura-Reference"/>
    <w:rsid w:val="0061090C"/>
    <w:rPr>
      <w:rFonts w:ascii="Book Antiqua" w:hAnsi="Book Antiqua"/>
      <w:szCs w:val="24"/>
      <w:lang w:val="en-US" w:eastAsia="en-US" w:bidi="ar-SA"/>
    </w:rPr>
  </w:style>
  <w:style w:type="character" w:customStyle="1" w:styleId="TeksKomentarKAR">
    <w:name w:val="Teks Komentar KAR"/>
    <w:link w:val="TeksKomentar"/>
    <w:uiPriority w:val="99"/>
    <w:semiHidden/>
    <w:locked/>
    <w:rsid w:val="00117232"/>
    <w:rPr>
      <w:lang w:val="en-US" w:eastAsia="en-US" w:bidi="ar-SA"/>
    </w:rPr>
  </w:style>
  <w:style w:type="paragraph" w:styleId="TeksKomentar">
    <w:name w:val="annotation text"/>
    <w:basedOn w:val="Normal"/>
    <w:link w:val="TeksKomentarKAR"/>
    <w:uiPriority w:val="99"/>
    <w:semiHidden/>
    <w:rsid w:val="00117232"/>
    <w:pPr>
      <w:widowControl/>
      <w:jc w:val="left"/>
    </w:pPr>
    <w:rPr>
      <w:szCs w:val="20"/>
    </w:rPr>
  </w:style>
  <w:style w:type="character" w:styleId="ReferensiKomentar">
    <w:name w:val="annotation reference"/>
    <w:uiPriority w:val="99"/>
    <w:semiHidden/>
    <w:rsid w:val="00117232"/>
    <w:rPr>
      <w:sz w:val="16"/>
      <w:szCs w:val="16"/>
    </w:rPr>
  </w:style>
  <w:style w:type="character" w:styleId="Hyperlink">
    <w:name w:val="Hyperlink"/>
    <w:uiPriority w:val="99"/>
    <w:rsid w:val="00514496"/>
    <w:rPr>
      <w:color w:val="auto"/>
      <w:u w:val="none"/>
    </w:rPr>
  </w:style>
  <w:style w:type="character" w:customStyle="1" w:styleId="JudulKAR">
    <w:name w:val="Judul KAR"/>
    <w:link w:val="Judul"/>
    <w:locked/>
    <w:rsid w:val="004A4EB6"/>
    <w:rPr>
      <w:b/>
      <w:bCs/>
      <w:sz w:val="24"/>
      <w:szCs w:val="24"/>
      <w:lang w:val="en-US" w:eastAsia="en-US" w:bidi="ar-SA"/>
    </w:rPr>
  </w:style>
  <w:style w:type="paragraph" w:styleId="Judul">
    <w:name w:val="Title"/>
    <w:basedOn w:val="Normal"/>
    <w:link w:val="JudulKAR"/>
    <w:qFormat/>
    <w:rsid w:val="004A4EB6"/>
    <w:pPr>
      <w:widowControl/>
      <w:jc w:val="center"/>
    </w:pPr>
    <w:rPr>
      <w:b/>
      <w:bCs/>
      <w:sz w:val="24"/>
    </w:rPr>
  </w:style>
  <w:style w:type="character" w:customStyle="1" w:styleId="IndenTeksIsiKAR">
    <w:name w:val="Inden Teks Isi KAR"/>
    <w:link w:val="IndenTeksIsi"/>
    <w:locked/>
    <w:rsid w:val="004A4EB6"/>
    <w:rPr>
      <w:sz w:val="24"/>
      <w:szCs w:val="24"/>
      <w:lang w:val="en-US" w:eastAsia="en-US" w:bidi="ar-SA"/>
    </w:rPr>
  </w:style>
  <w:style w:type="paragraph" w:styleId="IndenTeksIsi">
    <w:name w:val="Body Text Indent"/>
    <w:basedOn w:val="Normal"/>
    <w:link w:val="IndenTeksIsiKAR"/>
    <w:rsid w:val="004A4EB6"/>
    <w:pPr>
      <w:widowControl/>
      <w:spacing w:after="120"/>
      <w:ind w:left="360"/>
      <w:jc w:val="left"/>
    </w:pPr>
    <w:rPr>
      <w:sz w:val="24"/>
    </w:rPr>
  </w:style>
  <w:style w:type="paragraph" w:styleId="TeksBalon">
    <w:name w:val="Balloon Text"/>
    <w:basedOn w:val="Normal"/>
    <w:link w:val="TeksBalonKAR"/>
    <w:uiPriority w:val="99"/>
    <w:semiHidden/>
    <w:rsid w:val="00CE4BE0"/>
    <w:rPr>
      <w:rFonts w:ascii="Tahoma" w:hAnsi="Tahoma" w:cs="Tahoma"/>
      <w:sz w:val="16"/>
      <w:szCs w:val="16"/>
    </w:rPr>
  </w:style>
  <w:style w:type="character" w:customStyle="1" w:styleId="TeksBalonKAR">
    <w:name w:val="Teks Balon KAR"/>
    <w:link w:val="TeksBalon"/>
    <w:uiPriority w:val="99"/>
    <w:semiHidden/>
    <w:rsid w:val="005D097E"/>
    <w:rPr>
      <w:rFonts w:ascii="Tahoma" w:hAnsi="Tahoma" w:cs="Tahoma"/>
      <w:sz w:val="16"/>
      <w:szCs w:val="16"/>
      <w:lang w:val="en-US" w:eastAsia="en-US"/>
    </w:rPr>
  </w:style>
  <w:style w:type="paragraph" w:customStyle="1" w:styleId="msonospacing0">
    <w:name w:val="msonospacing"/>
    <w:rsid w:val="0048309C"/>
    <w:rPr>
      <w:sz w:val="24"/>
      <w:szCs w:val="24"/>
    </w:rPr>
  </w:style>
  <w:style w:type="paragraph" w:customStyle="1" w:styleId="msolistparagraph0">
    <w:name w:val="msolistparagraph"/>
    <w:basedOn w:val="Normal"/>
    <w:rsid w:val="0048309C"/>
    <w:pPr>
      <w:widowControl/>
      <w:spacing w:after="200" w:line="276" w:lineRule="auto"/>
      <w:ind w:left="720"/>
      <w:jc w:val="left"/>
    </w:pPr>
    <w:rPr>
      <w:rFonts w:ascii="Calibri" w:eastAsia="Calibri" w:hAnsi="Calibri"/>
      <w:sz w:val="22"/>
      <w:szCs w:val="22"/>
    </w:rPr>
  </w:style>
  <w:style w:type="character" w:customStyle="1" w:styleId="longtext">
    <w:name w:val="long_text"/>
    <w:basedOn w:val="FontParagrafDefault"/>
    <w:rsid w:val="0048309C"/>
  </w:style>
  <w:style w:type="character" w:customStyle="1" w:styleId="shorttext">
    <w:name w:val="short_text"/>
    <w:basedOn w:val="FontParagrafDefault"/>
    <w:rsid w:val="0048309C"/>
  </w:style>
  <w:style w:type="character" w:customStyle="1" w:styleId="cgselectable">
    <w:name w:val="cgselectable"/>
    <w:rsid w:val="0048309C"/>
  </w:style>
  <w:style w:type="character" w:styleId="Penekanan">
    <w:name w:val="Emphasis"/>
    <w:uiPriority w:val="20"/>
    <w:qFormat/>
    <w:rsid w:val="0048309C"/>
    <w:rPr>
      <w:i/>
      <w:iCs/>
    </w:rPr>
  </w:style>
  <w:style w:type="character" w:customStyle="1" w:styleId="TeksBiasaKAR">
    <w:name w:val="Teks Biasa KAR"/>
    <w:link w:val="TeksBiasa"/>
    <w:rsid w:val="0048309C"/>
    <w:rPr>
      <w:rFonts w:eastAsia="SimSun"/>
      <w:kern w:val="2"/>
      <w:lang w:val="en-US" w:eastAsia="zh-CN"/>
    </w:rPr>
  </w:style>
  <w:style w:type="paragraph" w:styleId="TeksBiasa">
    <w:name w:val="Plain Text"/>
    <w:basedOn w:val="Normal"/>
    <w:link w:val="TeksBiasaKAR"/>
    <w:unhideWhenUsed/>
    <w:rsid w:val="00464DED"/>
    <w:pPr>
      <w:widowControl/>
      <w:jc w:val="left"/>
    </w:pPr>
    <w:rPr>
      <w:rFonts w:eastAsia="SimSun"/>
      <w:kern w:val="2"/>
      <w:szCs w:val="20"/>
      <w:lang w:eastAsia="zh-CN"/>
    </w:rPr>
  </w:style>
  <w:style w:type="paragraph" w:styleId="SubjekKomentar">
    <w:name w:val="annotation subject"/>
    <w:basedOn w:val="TeksKomentar"/>
    <w:next w:val="TeksKomentar"/>
    <w:link w:val="SubjekKomentarKAR"/>
    <w:uiPriority w:val="99"/>
    <w:rsid w:val="0048309C"/>
    <w:pPr>
      <w:widowControl w:val="0"/>
    </w:pPr>
    <w:rPr>
      <w:rFonts w:eastAsia="SimSun"/>
      <w:b/>
      <w:bCs/>
      <w:kern w:val="2"/>
      <w:lang w:eastAsia="zh-CN"/>
    </w:rPr>
  </w:style>
  <w:style w:type="character" w:customStyle="1" w:styleId="SubjekKomentarKAR">
    <w:name w:val="Subjek Komentar KAR"/>
    <w:link w:val="SubjekKomentar"/>
    <w:uiPriority w:val="99"/>
    <w:rsid w:val="005D097E"/>
    <w:rPr>
      <w:rFonts w:eastAsia="SimSun"/>
      <w:b/>
      <w:bCs/>
      <w:kern w:val="2"/>
      <w:lang w:val="en-US" w:eastAsia="zh-CN"/>
    </w:rPr>
  </w:style>
  <w:style w:type="paragraph" w:styleId="TeksIsi">
    <w:name w:val="Body Text"/>
    <w:basedOn w:val="Normal"/>
    <w:rsid w:val="00CD059D"/>
    <w:pPr>
      <w:spacing w:after="120"/>
    </w:pPr>
  </w:style>
  <w:style w:type="paragraph" w:styleId="TeksIsi2">
    <w:name w:val="Body Text 2"/>
    <w:basedOn w:val="Normal"/>
    <w:rsid w:val="00CD059D"/>
    <w:pPr>
      <w:spacing w:after="120" w:line="480" w:lineRule="auto"/>
    </w:pPr>
  </w:style>
  <w:style w:type="paragraph" w:styleId="IndenTeksIsi2">
    <w:name w:val="Body Text Indent 2"/>
    <w:basedOn w:val="Normal"/>
    <w:rsid w:val="00CD059D"/>
    <w:pPr>
      <w:spacing w:after="120" w:line="480" w:lineRule="auto"/>
      <w:ind w:left="283"/>
    </w:pPr>
  </w:style>
  <w:style w:type="paragraph" w:styleId="IndenTeksIsi3">
    <w:name w:val="Body Text Indent 3"/>
    <w:basedOn w:val="Normal"/>
    <w:link w:val="IndenTeksIsi3KAR"/>
    <w:rsid w:val="00CD059D"/>
    <w:pPr>
      <w:spacing w:after="120"/>
      <w:ind w:left="283"/>
    </w:pPr>
    <w:rPr>
      <w:sz w:val="16"/>
      <w:szCs w:val="16"/>
    </w:rPr>
  </w:style>
  <w:style w:type="character" w:customStyle="1" w:styleId="IndenTeksIsi3KAR">
    <w:name w:val="Inden Teks Isi 3 KAR"/>
    <w:link w:val="IndenTeksIsi3"/>
    <w:rsid w:val="00125AB4"/>
    <w:rPr>
      <w:sz w:val="16"/>
      <w:szCs w:val="16"/>
      <w:lang w:val="en-US" w:eastAsia="en-US" w:bidi="ar-SA"/>
    </w:rPr>
  </w:style>
  <w:style w:type="table" w:styleId="KisiTabel">
    <w:name w:val="Table Grid"/>
    <w:basedOn w:val="TabelNormal"/>
    <w:uiPriority w:val="59"/>
    <w:rsid w:val="005C37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6">
    <w:name w:val="xl26"/>
    <w:basedOn w:val="Normal"/>
    <w:rsid w:val="00C43131"/>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4"/>
      <w:lang w:val="en-GB"/>
    </w:rPr>
  </w:style>
  <w:style w:type="paragraph" w:styleId="NormalWeb">
    <w:name w:val="Normal (Web)"/>
    <w:aliases w:val="Normal (Web) Char"/>
    <w:basedOn w:val="Normal"/>
    <w:link w:val="NormalWebKAR"/>
    <w:uiPriority w:val="99"/>
    <w:rsid w:val="00A727AD"/>
    <w:pPr>
      <w:widowControl/>
      <w:spacing w:before="100" w:beforeAutospacing="1" w:after="100" w:afterAutospacing="1"/>
      <w:jc w:val="left"/>
    </w:pPr>
    <w:rPr>
      <w:sz w:val="24"/>
      <w:lang w:val="en-GB"/>
    </w:rPr>
  </w:style>
  <w:style w:type="character" w:customStyle="1" w:styleId="NormalWebKAR">
    <w:name w:val="Normal (Web) KAR"/>
    <w:aliases w:val="Normal (Web) Char KAR"/>
    <w:link w:val="NormalWeb"/>
    <w:rsid w:val="00464DED"/>
    <w:rPr>
      <w:sz w:val="24"/>
      <w:szCs w:val="24"/>
      <w:lang w:val="en-GB" w:eastAsia="en-US" w:bidi="ar-SA"/>
    </w:rPr>
  </w:style>
  <w:style w:type="character" w:customStyle="1" w:styleId="categories">
    <w:name w:val="categories"/>
    <w:basedOn w:val="FontParagrafDefault"/>
    <w:rsid w:val="00A727AD"/>
  </w:style>
  <w:style w:type="character" w:customStyle="1" w:styleId="tags">
    <w:name w:val="tags"/>
    <w:basedOn w:val="FontParagrafDefault"/>
    <w:rsid w:val="00A727AD"/>
  </w:style>
  <w:style w:type="character" w:styleId="Kuat">
    <w:name w:val="Strong"/>
    <w:qFormat/>
    <w:rsid w:val="00A727AD"/>
    <w:rPr>
      <w:b/>
      <w:bCs/>
    </w:rPr>
  </w:style>
  <w:style w:type="paragraph" w:customStyle="1" w:styleId="bullet1">
    <w:name w:val="bullet1"/>
    <w:basedOn w:val="Normal"/>
    <w:autoRedefine/>
    <w:rsid w:val="00A727AD"/>
    <w:pPr>
      <w:widowControl/>
      <w:spacing w:line="480" w:lineRule="auto"/>
      <w:ind w:left="426" w:hanging="360"/>
    </w:pPr>
    <w:rPr>
      <w:sz w:val="24"/>
      <w:lang w:val="sv-SE"/>
    </w:rPr>
  </w:style>
  <w:style w:type="paragraph" w:customStyle="1" w:styleId="HlmJudul">
    <w:name w:val="Hlm Judul"/>
    <w:basedOn w:val="Normal"/>
    <w:rsid w:val="00A727AD"/>
    <w:pPr>
      <w:widowControl/>
      <w:ind w:firstLine="720"/>
      <w:jc w:val="center"/>
    </w:pPr>
    <w:rPr>
      <w:b/>
      <w:bCs/>
      <w:sz w:val="28"/>
      <w:szCs w:val="20"/>
      <w:lang w:val="en-GB"/>
    </w:rPr>
  </w:style>
  <w:style w:type="character" w:customStyle="1" w:styleId="a">
    <w:name w:val="a"/>
    <w:basedOn w:val="FontParagrafDefault"/>
    <w:rsid w:val="00A727AD"/>
  </w:style>
  <w:style w:type="character" w:customStyle="1" w:styleId="l7">
    <w:name w:val="l7"/>
    <w:basedOn w:val="FontParagrafDefault"/>
    <w:rsid w:val="00A727AD"/>
  </w:style>
  <w:style w:type="character" w:customStyle="1" w:styleId="l9">
    <w:name w:val="l9"/>
    <w:basedOn w:val="FontParagrafDefault"/>
    <w:rsid w:val="00A727AD"/>
  </w:style>
  <w:style w:type="character" w:customStyle="1" w:styleId="l8">
    <w:name w:val="l8"/>
    <w:basedOn w:val="FontParagrafDefault"/>
    <w:rsid w:val="00A727AD"/>
  </w:style>
  <w:style w:type="character" w:customStyle="1" w:styleId="l10">
    <w:name w:val="l10"/>
    <w:basedOn w:val="FontParagrafDefault"/>
    <w:rsid w:val="00A727AD"/>
  </w:style>
  <w:style w:type="character" w:customStyle="1" w:styleId="l6">
    <w:name w:val="l6"/>
    <w:basedOn w:val="FontParagrafDefault"/>
    <w:rsid w:val="00A727AD"/>
  </w:style>
  <w:style w:type="character" w:customStyle="1" w:styleId="l11">
    <w:name w:val="l11"/>
    <w:basedOn w:val="FontParagrafDefault"/>
    <w:rsid w:val="00A727AD"/>
  </w:style>
  <w:style w:type="character" w:customStyle="1" w:styleId="italic1">
    <w:name w:val="italic1"/>
    <w:rsid w:val="00A727AD"/>
    <w:rPr>
      <w:i/>
      <w:iCs/>
    </w:rPr>
  </w:style>
  <w:style w:type="character" w:customStyle="1" w:styleId="bold1">
    <w:name w:val="bold1"/>
    <w:rsid w:val="00A727AD"/>
    <w:rPr>
      <w:b/>
      <w:bCs/>
    </w:rPr>
  </w:style>
  <w:style w:type="paragraph" w:styleId="DaftarParagraf">
    <w:name w:val="List Paragraph"/>
    <w:basedOn w:val="Normal"/>
    <w:link w:val="DaftarParagrafKAR"/>
    <w:uiPriority w:val="34"/>
    <w:qFormat/>
    <w:rsid w:val="00E079CE"/>
    <w:pPr>
      <w:widowControl/>
      <w:spacing w:after="200" w:line="360" w:lineRule="auto"/>
      <w:ind w:left="720"/>
      <w:contextualSpacing/>
    </w:pPr>
    <w:rPr>
      <w:rFonts w:ascii="Calibri" w:eastAsia="Calibri" w:hAnsi="Calibri"/>
      <w:noProof/>
      <w:sz w:val="22"/>
      <w:szCs w:val="22"/>
    </w:rPr>
  </w:style>
  <w:style w:type="character" w:customStyle="1" w:styleId="DaftarParagrafKAR">
    <w:name w:val="Daftar Paragraf KAR"/>
    <w:link w:val="DaftarParagraf"/>
    <w:rsid w:val="00A3334D"/>
    <w:rPr>
      <w:rFonts w:ascii="Calibri" w:eastAsia="Calibri" w:hAnsi="Calibri"/>
      <w:noProof/>
      <w:sz w:val="22"/>
      <w:szCs w:val="22"/>
      <w:lang w:val="en-US" w:eastAsia="en-US" w:bidi="ar-SA"/>
    </w:rPr>
  </w:style>
  <w:style w:type="character" w:customStyle="1" w:styleId="citation">
    <w:name w:val="citation"/>
    <w:basedOn w:val="FontParagrafDefault"/>
    <w:rsid w:val="00E079CE"/>
  </w:style>
  <w:style w:type="paragraph" w:customStyle="1" w:styleId="VenturaCover1">
    <w:name w:val="Ventura Cover1"/>
    <w:basedOn w:val="Normal"/>
    <w:rsid w:val="0084540C"/>
    <w:pPr>
      <w:spacing w:before="120"/>
      <w:contextualSpacing/>
      <w:jc w:val="center"/>
    </w:pPr>
  </w:style>
  <w:style w:type="paragraph" w:customStyle="1" w:styleId="VenturaCover2">
    <w:name w:val="Ventura Cover2"/>
    <w:basedOn w:val="VenturaCover1"/>
    <w:rsid w:val="00F155A9"/>
    <w:pPr>
      <w:spacing w:after="120"/>
    </w:pPr>
    <w:rPr>
      <w:color w:val="FF0000"/>
      <w:spacing w:val="40"/>
      <w:sz w:val="56"/>
    </w:rPr>
  </w:style>
  <w:style w:type="paragraph" w:customStyle="1" w:styleId="StyleVentura-KeywordLatinBold">
    <w:name w:val="Style Ventura-Keyword + (Latin) Bold"/>
    <w:basedOn w:val="Ventura-Keyword"/>
    <w:link w:val="StyleVentura-KeywordLatinBoldChar"/>
    <w:rsid w:val="009A40AB"/>
    <w:pPr>
      <w:tabs>
        <w:tab w:val="left" w:pos="1021"/>
      </w:tabs>
      <w:ind w:left="1021" w:hanging="1021"/>
    </w:pPr>
    <w:rPr>
      <w:b/>
    </w:rPr>
  </w:style>
  <w:style w:type="character" w:customStyle="1" w:styleId="StyleVentura-KeywordLatinBoldChar">
    <w:name w:val="Style Ventura-Keyword + (Latin) Bold Char"/>
    <w:link w:val="StyleVentura-KeywordLatinBold"/>
    <w:rsid w:val="009A40AB"/>
    <w:rPr>
      <w:rFonts w:ascii="Book Antiqua" w:hAnsi="Book Antiqua"/>
      <w:b/>
      <w:i/>
      <w:spacing w:val="2"/>
      <w:sz w:val="18"/>
      <w:szCs w:val="24"/>
      <w:lang w:val="en-US" w:eastAsia="en-US" w:bidi="ar-SA"/>
    </w:rPr>
  </w:style>
  <w:style w:type="paragraph" w:customStyle="1" w:styleId="StyleVentura-ReferenceItalic">
    <w:name w:val="Style Ventura-Reference + Italic"/>
    <w:basedOn w:val="Ventura-Reference"/>
    <w:link w:val="StyleVentura-ReferenceItalicChar"/>
    <w:rsid w:val="00BD53F9"/>
    <w:rPr>
      <w:i/>
      <w:iCs/>
    </w:rPr>
  </w:style>
  <w:style w:type="character" w:customStyle="1" w:styleId="StyleVentura-ReferenceItalicChar">
    <w:name w:val="Style Ventura-Reference + Italic Char"/>
    <w:link w:val="StyleVentura-ReferenceItalic"/>
    <w:rsid w:val="00BD53F9"/>
    <w:rPr>
      <w:rFonts w:ascii="Book Antiqua" w:hAnsi="Book Antiqua"/>
      <w:i/>
      <w:iCs/>
      <w:szCs w:val="24"/>
      <w:lang w:val="en-US" w:eastAsia="en-US" w:bidi="ar-SA"/>
    </w:rPr>
  </w:style>
  <w:style w:type="paragraph" w:customStyle="1" w:styleId="StyleVentura-KeywordNotItalic">
    <w:name w:val="Style Ventura-Keyword + Not Italic"/>
    <w:basedOn w:val="Ventura-Keyword"/>
    <w:rsid w:val="00E03BC6"/>
    <w:rPr>
      <w:iCs/>
    </w:rPr>
  </w:style>
  <w:style w:type="paragraph" w:customStyle="1" w:styleId="Default">
    <w:name w:val="Default"/>
    <w:rsid w:val="00DC6EDB"/>
    <w:pPr>
      <w:autoSpaceDE w:val="0"/>
      <w:autoSpaceDN w:val="0"/>
      <w:adjustRightInd w:val="0"/>
    </w:pPr>
    <w:rPr>
      <w:rFonts w:ascii="Arial" w:hAnsi="Arial" w:cs="Arial"/>
      <w:color w:val="000000"/>
      <w:sz w:val="24"/>
      <w:szCs w:val="24"/>
    </w:rPr>
  </w:style>
  <w:style w:type="character" w:customStyle="1" w:styleId="apple-converted-space">
    <w:name w:val="apple-converted-space"/>
    <w:rsid w:val="00DC6EDB"/>
  </w:style>
  <w:style w:type="character" w:customStyle="1" w:styleId="CharChar14">
    <w:name w:val="Char Char14"/>
    <w:rsid w:val="00125AB4"/>
    <w:rPr>
      <w:rFonts w:ascii="Cambria" w:eastAsia="Times New Roman" w:hAnsi="Cambria" w:cs="Times New Roman"/>
      <w:b/>
      <w:bCs/>
      <w:i/>
      <w:iCs/>
      <w:sz w:val="28"/>
      <w:szCs w:val="28"/>
    </w:rPr>
  </w:style>
  <w:style w:type="character" w:customStyle="1" w:styleId="CharChar11">
    <w:name w:val="Char Char11"/>
    <w:semiHidden/>
    <w:rsid w:val="00125AB4"/>
    <w:rPr>
      <w:rFonts w:ascii="Calibri" w:eastAsia="Times New Roman" w:hAnsi="Calibri" w:cs="Times New Roman"/>
      <w:b/>
      <w:bCs/>
      <w:i/>
      <w:iCs/>
      <w:sz w:val="26"/>
      <w:szCs w:val="26"/>
    </w:rPr>
  </w:style>
  <w:style w:type="paragraph" w:styleId="Subjudul">
    <w:name w:val="Subtitle"/>
    <w:basedOn w:val="Normal"/>
    <w:link w:val="SubjudulKAR"/>
    <w:qFormat/>
    <w:rsid w:val="00125AB4"/>
    <w:pPr>
      <w:widowControl/>
      <w:tabs>
        <w:tab w:val="num" w:pos="360"/>
      </w:tabs>
      <w:spacing w:line="480" w:lineRule="auto"/>
      <w:ind w:left="360" w:hanging="360"/>
      <w:jc w:val="center"/>
    </w:pPr>
    <w:rPr>
      <w:b/>
      <w:sz w:val="24"/>
      <w:szCs w:val="20"/>
      <w:lang w:val="id-ID"/>
    </w:rPr>
  </w:style>
  <w:style w:type="character" w:customStyle="1" w:styleId="SubjudulKAR">
    <w:name w:val="Subjudul KAR"/>
    <w:link w:val="Subjudul"/>
    <w:rsid w:val="00125AB4"/>
    <w:rPr>
      <w:b/>
      <w:sz w:val="24"/>
      <w:lang w:val="id-ID" w:eastAsia="en-US" w:bidi="ar-SA"/>
    </w:rPr>
  </w:style>
  <w:style w:type="paragraph" w:customStyle="1" w:styleId="Title1">
    <w:name w:val="Title1"/>
    <w:basedOn w:val="Normal"/>
    <w:rsid w:val="00125AB4"/>
    <w:pPr>
      <w:widowControl/>
      <w:spacing w:before="100" w:beforeAutospacing="1" w:after="100" w:afterAutospacing="1"/>
      <w:jc w:val="center"/>
    </w:pPr>
    <w:rPr>
      <w:sz w:val="24"/>
    </w:rPr>
  </w:style>
  <w:style w:type="character" w:customStyle="1" w:styleId="note">
    <w:name w:val="note"/>
    <w:basedOn w:val="FontParagrafDefault"/>
    <w:rsid w:val="00125AB4"/>
  </w:style>
  <w:style w:type="character" w:customStyle="1" w:styleId="fullpost">
    <w:name w:val="fullpost"/>
    <w:basedOn w:val="FontParagrafDefault"/>
    <w:rsid w:val="00125AB4"/>
  </w:style>
  <w:style w:type="character" w:customStyle="1" w:styleId="atn">
    <w:name w:val="atn"/>
    <w:basedOn w:val="FontParagrafDefault"/>
    <w:rsid w:val="00125AB4"/>
  </w:style>
  <w:style w:type="character" w:customStyle="1" w:styleId="PersenCharChar">
    <w:name w:val="Persen Char Char"/>
    <w:rsid w:val="00464DED"/>
    <w:rPr>
      <w:rFonts w:eastAsia="Times New Roman"/>
    </w:rPr>
  </w:style>
  <w:style w:type="paragraph" w:styleId="HTMLSudahDiformat">
    <w:name w:val="HTML Preformatted"/>
    <w:basedOn w:val="Normal"/>
    <w:rsid w:val="00464D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Cs w:val="20"/>
    </w:rPr>
  </w:style>
  <w:style w:type="character" w:styleId="MesinTikHTML">
    <w:name w:val="HTML Typewriter"/>
    <w:rsid w:val="00464DED"/>
    <w:rPr>
      <w:rFonts w:ascii="Courier New" w:eastAsia="Times New Roman" w:hAnsi="Courier New" w:cs="Courier New"/>
      <w:sz w:val="20"/>
      <w:szCs w:val="20"/>
    </w:rPr>
  </w:style>
  <w:style w:type="character" w:customStyle="1" w:styleId="CharChar16">
    <w:name w:val="Char Char16"/>
    <w:rsid w:val="00464DED"/>
    <w:rPr>
      <w:rFonts w:ascii="Times New Roman" w:eastAsia="Times New Roman" w:hAnsi="Times New Roman" w:cs="Times New Roman"/>
      <w:b/>
      <w:sz w:val="24"/>
      <w:szCs w:val="24"/>
      <w:lang w:val="sv-SE"/>
    </w:rPr>
  </w:style>
  <w:style w:type="paragraph" w:styleId="TidakAdaSpasi">
    <w:name w:val="No Spacing"/>
    <w:link w:val="TidakAdaSpasiKAR"/>
    <w:uiPriority w:val="1"/>
    <w:qFormat/>
    <w:rsid w:val="00464DED"/>
    <w:rPr>
      <w:sz w:val="24"/>
      <w:szCs w:val="24"/>
    </w:rPr>
  </w:style>
  <w:style w:type="character" w:customStyle="1" w:styleId="TidakAdaSpasiKAR">
    <w:name w:val="Tidak Ada Spasi KAR"/>
    <w:link w:val="TidakAdaSpasi"/>
    <w:rsid w:val="007D3A0B"/>
    <w:rPr>
      <w:sz w:val="24"/>
      <w:szCs w:val="24"/>
      <w:lang w:val="en-US" w:eastAsia="en-US" w:bidi="ar-SA"/>
    </w:rPr>
  </w:style>
  <w:style w:type="paragraph" w:customStyle="1" w:styleId="naon">
    <w:name w:val="naon"/>
    <w:basedOn w:val="TeksBiasa"/>
    <w:rsid w:val="00464DED"/>
  </w:style>
  <w:style w:type="character" w:customStyle="1" w:styleId="google-src-text">
    <w:name w:val="google-src-text"/>
    <w:basedOn w:val="FontParagrafDefault"/>
    <w:rsid w:val="00464DED"/>
  </w:style>
  <w:style w:type="character" w:customStyle="1" w:styleId="apple-style-span">
    <w:name w:val="apple-style-span"/>
    <w:rsid w:val="00464DED"/>
    <w:rPr>
      <w:rFonts w:cs="Times New Roman"/>
    </w:rPr>
  </w:style>
  <w:style w:type="paragraph" w:styleId="TeksIsi3">
    <w:name w:val="Body Text 3"/>
    <w:basedOn w:val="Normal"/>
    <w:rsid w:val="00464DED"/>
    <w:pPr>
      <w:widowControl/>
      <w:spacing w:after="120" w:line="276" w:lineRule="auto"/>
      <w:jc w:val="left"/>
    </w:pPr>
    <w:rPr>
      <w:rFonts w:eastAsia="SimSun"/>
      <w:sz w:val="16"/>
      <w:szCs w:val="16"/>
    </w:rPr>
  </w:style>
  <w:style w:type="character" w:customStyle="1" w:styleId="NormalWebCharCharChar">
    <w:name w:val="Normal (Web) Char Char Char"/>
    <w:rsid w:val="00464DED"/>
    <w:rPr>
      <w:sz w:val="24"/>
      <w:szCs w:val="24"/>
      <w:lang w:val="en-US" w:eastAsia="en-US" w:bidi="ar-SA"/>
    </w:rPr>
  </w:style>
  <w:style w:type="character" w:styleId="Tempatpenampungteks">
    <w:name w:val="Placeholder Text"/>
    <w:semiHidden/>
    <w:rsid w:val="00464DED"/>
    <w:rPr>
      <w:color w:val="808080"/>
    </w:rPr>
  </w:style>
  <w:style w:type="character" w:customStyle="1" w:styleId="gen">
    <w:name w:val="gen"/>
    <w:basedOn w:val="FontParagrafDefault"/>
    <w:rsid w:val="00464DED"/>
  </w:style>
  <w:style w:type="character" w:customStyle="1" w:styleId="titleauthoretc">
    <w:name w:val="titleauthoretc"/>
    <w:rsid w:val="00464DED"/>
  </w:style>
  <w:style w:type="character" w:customStyle="1" w:styleId="ow06g">
    <w:name w:val="ow06g"/>
    <w:rsid w:val="00BB12EF"/>
  </w:style>
  <w:style w:type="character" w:styleId="SebutanHTML">
    <w:name w:val="HTML Cite"/>
    <w:uiPriority w:val="99"/>
    <w:unhideWhenUsed/>
    <w:rsid w:val="009B43F6"/>
    <w:rPr>
      <w:i/>
      <w:iCs/>
    </w:rPr>
  </w:style>
  <w:style w:type="character" w:customStyle="1" w:styleId="fn">
    <w:name w:val="fn"/>
    <w:rsid w:val="009B43F6"/>
  </w:style>
  <w:style w:type="character" w:customStyle="1" w:styleId="Subtitle1">
    <w:name w:val="Subtitle1"/>
    <w:rsid w:val="009B43F6"/>
  </w:style>
  <w:style w:type="character" w:customStyle="1" w:styleId="bookauthor">
    <w:name w:val="bookauthor"/>
    <w:rsid w:val="009B43F6"/>
  </w:style>
  <w:style w:type="character" w:customStyle="1" w:styleId="booktitle">
    <w:name w:val="booktitle"/>
    <w:rsid w:val="009B43F6"/>
  </w:style>
  <w:style w:type="character" w:customStyle="1" w:styleId="blackclass">
    <w:name w:val="blackclass"/>
    <w:rsid w:val="009B43F6"/>
  </w:style>
  <w:style w:type="character" w:customStyle="1" w:styleId="blackclass1">
    <w:name w:val="blackclass1"/>
    <w:rsid w:val="009B43F6"/>
    <w:rPr>
      <w:color w:val="000000"/>
    </w:rPr>
  </w:style>
  <w:style w:type="character" w:customStyle="1" w:styleId="phraseanchor">
    <w:name w:val="phrase_anchor"/>
    <w:basedOn w:val="FontParagrafDefault"/>
    <w:rsid w:val="009B43F6"/>
  </w:style>
  <w:style w:type="character" w:styleId="PenekananHalus">
    <w:name w:val="Subtle Emphasis"/>
    <w:qFormat/>
    <w:rsid w:val="009B43F6"/>
    <w:rPr>
      <w:i/>
      <w:iCs/>
      <w:color w:val="808080"/>
    </w:rPr>
  </w:style>
  <w:style w:type="character" w:customStyle="1" w:styleId="notranslate">
    <w:name w:val="notranslate"/>
    <w:rsid w:val="009B43F6"/>
  </w:style>
  <w:style w:type="paragraph" w:styleId="TeksCatatanKaki">
    <w:name w:val="footnote text"/>
    <w:basedOn w:val="Normal"/>
    <w:link w:val="TeksCatatanKakiKAR"/>
    <w:uiPriority w:val="99"/>
    <w:rsid w:val="00F55443"/>
    <w:pPr>
      <w:widowControl/>
      <w:jc w:val="left"/>
    </w:pPr>
    <w:rPr>
      <w:szCs w:val="20"/>
    </w:rPr>
  </w:style>
  <w:style w:type="character" w:customStyle="1" w:styleId="TeksCatatanKakiKAR">
    <w:name w:val="Teks Catatan Kaki KAR"/>
    <w:link w:val="TeksCatatanKaki"/>
    <w:uiPriority w:val="99"/>
    <w:rsid w:val="005D097E"/>
    <w:rPr>
      <w:lang w:val="en-US" w:eastAsia="en-US"/>
    </w:rPr>
  </w:style>
  <w:style w:type="character" w:customStyle="1" w:styleId="addmd">
    <w:name w:val="addmd"/>
    <w:basedOn w:val="FontParagrafDefault"/>
    <w:rsid w:val="00F55443"/>
  </w:style>
  <w:style w:type="character" w:customStyle="1" w:styleId="WW8Num2z0">
    <w:name w:val="WW8Num2z0"/>
    <w:rsid w:val="00F55443"/>
    <w:rPr>
      <w:rFonts w:ascii="Courier New" w:hAnsi="Courier New" w:cs="Courier New"/>
    </w:rPr>
  </w:style>
  <w:style w:type="character" w:customStyle="1" w:styleId="WW8Num2z2">
    <w:name w:val="WW8Num2z2"/>
    <w:rsid w:val="00F55443"/>
    <w:rPr>
      <w:rFonts w:ascii="Wingdings" w:hAnsi="Wingdings"/>
    </w:rPr>
  </w:style>
  <w:style w:type="character" w:customStyle="1" w:styleId="WW8Num2z3">
    <w:name w:val="WW8Num2z3"/>
    <w:rsid w:val="00F55443"/>
    <w:rPr>
      <w:rFonts w:ascii="Symbol" w:hAnsi="Symbol"/>
    </w:rPr>
  </w:style>
  <w:style w:type="character" w:customStyle="1" w:styleId="WW8Num5z0">
    <w:name w:val="WW8Num5z0"/>
    <w:rsid w:val="00F55443"/>
    <w:rPr>
      <w:rFonts w:ascii="Wingdings" w:hAnsi="Wingdings"/>
    </w:rPr>
  </w:style>
  <w:style w:type="paragraph" w:customStyle="1" w:styleId="Heading">
    <w:name w:val="Heading"/>
    <w:basedOn w:val="Normal"/>
    <w:next w:val="TeksIsi"/>
    <w:rsid w:val="00F55443"/>
    <w:pPr>
      <w:keepNext/>
      <w:widowControl/>
      <w:suppressAutoHyphens/>
      <w:spacing w:before="240" w:after="120"/>
      <w:jc w:val="left"/>
    </w:pPr>
    <w:rPr>
      <w:rFonts w:ascii="Arial" w:eastAsia="Lucida Sans Unicode" w:hAnsi="Arial" w:cs="Tahoma"/>
      <w:sz w:val="28"/>
      <w:szCs w:val="28"/>
      <w:lang w:eastAsia="ar-SA"/>
    </w:rPr>
  </w:style>
  <w:style w:type="paragraph" w:styleId="Daftar">
    <w:name w:val="List"/>
    <w:basedOn w:val="TeksIsi"/>
    <w:rsid w:val="00F55443"/>
    <w:pPr>
      <w:widowControl/>
      <w:suppressAutoHyphens/>
      <w:jc w:val="left"/>
    </w:pPr>
    <w:rPr>
      <w:rFonts w:cs="Tahoma"/>
      <w:sz w:val="24"/>
      <w:lang w:eastAsia="ar-SA"/>
    </w:rPr>
  </w:style>
  <w:style w:type="paragraph" w:styleId="Keterangan">
    <w:name w:val="caption"/>
    <w:basedOn w:val="Normal"/>
    <w:qFormat/>
    <w:rsid w:val="00F55443"/>
    <w:pPr>
      <w:widowControl/>
      <w:suppressLineNumbers/>
      <w:suppressAutoHyphens/>
      <w:spacing w:before="120" w:after="120"/>
      <w:jc w:val="left"/>
    </w:pPr>
    <w:rPr>
      <w:rFonts w:cs="Tahoma"/>
      <w:i/>
      <w:iCs/>
      <w:sz w:val="24"/>
      <w:lang w:eastAsia="ar-SA"/>
    </w:rPr>
  </w:style>
  <w:style w:type="paragraph" w:customStyle="1" w:styleId="Index">
    <w:name w:val="Index"/>
    <w:basedOn w:val="Normal"/>
    <w:rsid w:val="00F55443"/>
    <w:pPr>
      <w:widowControl/>
      <w:suppressLineNumbers/>
      <w:suppressAutoHyphens/>
      <w:jc w:val="left"/>
    </w:pPr>
    <w:rPr>
      <w:rFonts w:cs="Tahoma"/>
      <w:sz w:val="24"/>
      <w:lang w:eastAsia="ar-SA"/>
    </w:rPr>
  </w:style>
  <w:style w:type="paragraph" w:customStyle="1" w:styleId="TableContents">
    <w:name w:val="Table Contents"/>
    <w:basedOn w:val="Normal"/>
    <w:rsid w:val="00F55443"/>
    <w:pPr>
      <w:widowControl/>
      <w:suppressLineNumbers/>
      <w:suppressAutoHyphens/>
      <w:jc w:val="left"/>
    </w:pPr>
    <w:rPr>
      <w:sz w:val="24"/>
      <w:lang w:eastAsia="ar-SA"/>
    </w:rPr>
  </w:style>
  <w:style w:type="paragraph" w:customStyle="1" w:styleId="TableHeading">
    <w:name w:val="Table Heading"/>
    <w:basedOn w:val="TableContents"/>
    <w:rsid w:val="00F55443"/>
  </w:style>
  <w:style w:type="paragraph" w:customStyle="1" w:styleId="Framecontents">
    <w:name w:val="Frame contents"/>
    <w:basedOn w:val="TeksIsi"/>
    <w:rsid w:val="00F55443"/>
    <w:pPr>
      <w:widowControl/>
      <w:suppressAutoHyphens/>
      <w:jc w:val="left"/>
    </w:pPr>
    <w:rPr>
      <w:sz w:val="24"/>
      <w:lang w:eastAsia="ar-SA"/>
    </w:rPr>
  </w:style>
  <w:style w:type="paragraph" w:styleId="TOC1">
    <w:name w:val="toc 1"/>
    <w:basedOn w:val="Normal"/>
    <w:next w:val="Normal"/>
    <w:autoRedefine/>
    <w:unhideWhenUsed/>
    <w:qFormat/>
    <w:rsid w:val="007D3A0B"/>
    <w:pPr>
      <w:widowControl/>
      <w:spacing w:after="100"/>
      <w:jc w:val="left"/>
    </w:pPr>
    <w:rPr>
      <w:rFonts w:cs="Arial"/>
      <w:sz w:val="24"/>
      <w:szCs w:val="22"/>
      <w:u w:val="words" w:color="FFFFFF"/>
      <w:lang w:eastAsia="ja-JP"/>
    </w:rPr>
  </w:style>
  <w:style w:type="paragraph" w:styleId="TOC2">
    <w:name w:val="toc 2"/>
    <w:basedOn w:val="Normal"/>
    <w:next w:val="Normal"/>
    <w:autoRedefine/>
    <w:semiHidden/>
    <w:unhideWhenUsed/>
    <w:qFormat/>
    <w:rsid w:val="007D3A0B"/>
    <w:pPr>
      <w:widowControl/>
      <w:spacing w:after="100"/>
      <w:ind w:left="220"/>
      <w:jc w:val="left"/>
    </w:pPr>
    <w:rPr>
      <w:rFonts w:cs="Arial"/>
      <w:sz w:val="24"/>
      <w:szCs w:val="22"/>
      <w:u w:val="words" w:color="FFFFFF"/>
      <w:lang w:eastAsia="ja-JP"/>
    </w:rPr>
  </w:style>
  <w:style w:type="paragraph" w:styleId="TOC3">
    <w:name w:val="toc 3"/>
    <w:basedOn w:val="Normal"/>
    <w:next w:val="Normal"/>
    <w:autoRedefine/>
    <w:semiHidden/>
    <w:unhideWhenUsed/>
    <w:qFormat/>
    <w:rsid w:val="007D3A0B"/>
    <w:pPr>
      <w:widowControl/>
      <w:spacing w:after="100"/>
      <w:ind w:left="440"/>
      <w:jc w:val="left"/>
    </w:pPr>
    <w:rPr>
      <w:rFonts w:cs="Arial"/>
      <w:sz w:val="24"/>
      <w:szCs w:val="22"/>
      <w:u w:val="words" w:color="FFFFFF"/>
      <w:lang w:eastAsia="ja-JP"/>
    </w:rPr>
  </w:style>
  <w:style w:type="paragraph" w:styleId="JudulTOC">
    <w:name w:val="TOC Heading"/>
    <w:basedOn w:val="Judul1"/>
    <w:next w:val="Normal"/>
    <w:qFormat/>
    <w:rsid w:val="007D3A0B"/>
    <w:pPr>
      <w:keepLines/>
      <w:widowControl/>
      <w:spacing w:before="100" w:beforeAutospacing="1" w:after="0"/>
      <w:ind w:left="274" w:hanging="274"/>
      <w:jc w:val="center"/>
      <w:outlineLvl w:val="9"/>
    </w:pPr>
    <w:rPr>
      <w:rFonts w:cs="Times New Roman"/>
      <w:color w:val="365F91"/>
      <w:kern w:val="0"/>
      <w:sz w:val="24"/>
      <w:szCs w:val="24"/>
      <w:lang w:eastAsia="ja-JP"/>
    </w:rPr>
  </w:style>
  <w:style w:type="paragraph" w:styleId="PoinDaftar">
    <w:name w:val="List Bullet"/>
    <w:basedOn w:val="Normal"/>
    <w:unhideWhenUsed/>
    <w:qFormat/>
    <w:rsid w:val="007D3A0B"/>
    <w:pPr>
      <w:widowControl/>
      <w:tabs>
        <w:tab w:val="num" w:pos="360"/>
      </w:tabs>
      <w:spacing w:after="120" w:line="276" w:lineRule="auto"/>
      <w:contextualSpacing/>
      <w:jc w:val="left"/>
    </w:pPr>
    <w:rPr>
      <w:rFonts w:ascii="Gill Sans MT" w:eastAsia="Gill Sans MT" w:hAnsi="Gill Sans MT"/>
      <w:color w:val="000000"/>
      <w:szCs w:val="20"/>
      <w:u w:color="FFFFFF"/>
      <w:lang w:eastAsia="ja-JP"/>
    </w:rPr>
  </w:style>
  <w:style w:type="paragraph" w:customStyle="1" w:styleId="Section">
    <w:name w:val="Section"/>
    <w:basedOn w:val="Normal"/>
    <w:next w:val="Normal"/>
    <w:link w:val="SectionChar"/>
    <w:qFormat/>
    <w:rsid w:val="007D3A0B"/>
    <w:pPr>
      <w:widowControl/>
      <w:spacing w:after="120"/>
      <w:contextualSpacing/>
      <w:jc w:val="left"/>
    </w:pPr>
    <w:rPr>
      <w:rFonts w:ascii="Bookman Old Style" w:eastAsia="Gill Sans MT" w:hAnsi="Bookman Old Style"/>
      <w:b/>
      <w:color w:val="9FB8CD"/>
      <w:sz w:val="24"/>
      <w:szCs w:val="20"/>
      <w:lang w:eastAsia="ja-JP"/>
    </w:rPr>
  </w:style>
  <w:style w:type="character" w:customStyle="1" w:styleId="SectionChar">
    <w:name w:val="Section Char"/>
    <w:link w:val="Section"/>
    <w:rsid w:val="007D3A0B"/>
    <w:rPr>
      <w:rFonts w:ascii="Bookman Old Style" w:eastAsia="Gill Sans MT" w:hAnsi="Bookman Old Style"/>
      <w:b/>
      <w:color w:val="9FB8CD"/>
      <w:sz w:val="24"/>
      <w:lang w:eastAsia="ja-JP" w:bidi="ar-SA"/>
    </w:rPr>
  </w:style>
  <w:style w:type="paragraph" w:customStyle="1" w:styleId="AddressText">
    <w:name w:val="Address Text"/>
    <w:basedOn w:val="TidakAdaSpasi"/>
    <w:qFormat/>
    <w:rsid w:val="007D3A0B"/>
    <w:pPr>
      <w:spacing w:before="200" w:line="276" w:lineRule="auto"/>
      <w:contextualSpacing/>
      <w:jc w:val="right"/>
    </w:pPr>
    <w:rPr>
      <w:rFonts w:ascii="Bookman Old Style" w:eastAsia="Gill Sans MT" w:hAnsi="Bookman Old Style"/>
      <w:color w:val="9FB8CD"/>
      <w:sz w:val="18"/>
      <w:szCs w:val="20"/>
      <w:lang w:eastAsia="ja-JP" w:bidi="he-IL"/>
    </w:rPr>
  </w:style>
  <w:style w:type="paragraph" w:customStyle="1" w:styleId="Achievement">
    <w:name w:val="Achievement"/>
    <w:next w:val="TidakAdaSpasi"/>
    <w:link w:val="Achievement0"/>
    <w:autoRedefine/>
    <w:rsid w:val="007D3A0B"/>
    <w:pPr>
      <w:tabs>
        <w:tab w:val="num" w:pos="440"/>
        <w:tab w:val="left" w:pos="6451"/>
      </w:tabs>
      <w:spacing w:after="60" w:line="220" w:lineRule="atLeast"/>
      <w:ind w:left="440" w:right="245" w:hanging="420"/>
    </w:pPr>
    <w:rPr>
      <w:rFonts w:eastAsia="MS Mincho"/>
      <w:bCs/>
      <w:iCs/>
      <w:lang w:val="id-ID" w:eastAsia="id-ID"/>
    </w:rPr>
  </w:style>
  <w:style w:type="character" w:customStyle="1" w:styleId="Achievement0">
    <w:name w:val="Achievement (文字)"/>
    <w:link w:val="Achievement"/>
    <w:rsid w:val="007D3A0B"/>
    <w:rPr>
      <w:rFonts w:eastAsia="MS Mincho"/>
      <w:bCs/>
      <w:iCs/>
      <w:lang w:val="id-ID" w:eastAsia="id-ID" w:bidi="ar-SA"/>
    </w:rPr>
  </w:style>
  <w:style w:type="paragraph" w:customStyle="1" w:styleId="Address1">
    <w:name w:val="Address 1"/>
    <w:basedOn w:val="Normal"/>
    <w:rsid w:val="007D3A0B"/>
    <w:pPr>
      <w:widowControl/>
      <w:spacing w:line="200" w:lineRule="atLeast"/>
      <w:jc w:val="left"/>
    </w:pPr>
    <w:rPr>
      <w:rFonts w:eastAsia="MS Mincho"/>
      <w:sz w:val="16"/>
      <w:szCs w:val="20"/>
      <w:u w:color="FFFFFF"/>
    </w:rPr>
  </w:style>
  <w:style w:type="paragraph" w:customStyle="1" w:styleId="Address2">
    <w:name w:val="Address 2"/>
    <w:basedOn w:val="Normal"/>
    <w:rsid w:val="007D3A0B"/>
    <w:pPr>
      <w:widowControl/>
      <w:spacing w:line="200" w:lineRule="atLeast"/>
      <w:jc w:val="left"/>
    </w:pPr>
    <w:rPr>
      <w:rFonts w:eastAsia="MS Mincho"/>
      <w:sz w:val="16"/>
      <w:szCs w:val="20"/>
      <w:u w:color="FFFFFF"/>
    </w:rPr>
  </w:style>
  <w:style w:type="paragraph" w:customStyle="1" w:styleId="JobTitle">
    <w:name w:val="Job Title"/>
    <w:next w:val="Achievement"/>
    <w:link w:val="JobTitle0"/>
    <w:rsid w:val="007D3A0B"/>
    <w:pPr>
      <w:spacing w:after="40" w:line="220" w:lineRule="atLeast"/>
    </w:pPr>
    <w:rPr>
      <w:rFonts w:ascii="Arial" w:eastAsia="MS Mincho" w:hAnsi="Arial"/>
      <w:b/>
      <w:spacing w:val="-10"/>
      <w:lang w:val="id-ID" w:eastAsia="id-ID"/>
    </w:rPr>
  </w:style>
  <w:style w:type="character" w:customStyle="1" w:styleId="JobTitle0">
    <w:name w:val="Job Title (文字)"/>
    <w:link w:val="JobTitle"/>
    <w:rsid w:val="007D3A0B"/>
    <w:rPr>
      <w:rFonts w:ascii="Arial" w:eastAsia="MS Mincho" w:hAnsi="Arial"/>
      <w:b/>
      <w:spacing w:val="-10"/>
      <w:lang w:val="id-ID" w:eastAsia="id-ID" w:bidi="ar-SA"/>
    </w:rPr>
  </w:style>
  <w:style w:type="paragraph" w:customStyle="1" w:styleId="Name">
    <w:name w:val="Name"/>
    <w:basedOn w:val="Normal"/>
    <w:next w:val="Normal"/>
    <w:autoRedefine/>
    <w:rsid w:val="007D3A0B"/>
    <w:pPr>
      <w:widowControl/>
      <w:spacing w:before="360" w:after="440" w:line="240" w:lineRule="atLeast"/>
      <w:ind w:right="-150"/>
      <w:jc w:val="left"/>
    </w:pPr>
    <w:rPr>
      <w:rFonts w:eastAsia="MS Mincho"/>
      <w:spacing w:val="-20"/>
      <w:sz w:val="48"/>
      <w:szCs w:val="20"/>
      <w:u w:color="FFFFFF"/>
    </w:rPr>
  </w:style>
  <w:style w:type="paragraph" w:customStyle="1" w:styleId="list0020paragraph">
    <w:name w:val="list_0020paragraph"/>
    <w:basedOn w:val="Normal"/>
    <w:rsid w:val="00C44657"/>
    <w:pPr>
      <w:widowControl/>
      <w:spacing w:before="100" w:beforeAutospacing="1" w:after="100" w:afterAutospacing="1"/>
      <w:jc w:val="left"/>
    </w:pPr>
    <w:rPr>
      <w:sz w:val="24"/>
      <w:lang w:eastAsia="id-ID"/>
    </w:rPr>
  </w:style>
  <w:style w:type="character" w:customStyle="1" w:styleId="list0020paragraphchar">
    <w:name w:val="list_0020paragraph__char"/>
    <w:basedOn w:val="FontParagrafDefault"/>
    <w:rsid w:val="00C44657"/>
  </w:style>
  <w:style w:type="paragraph" w:customStyle="1" w:styleId="Normal1">
    <w:name w:val="Normal1"/>
    <w:basedOn w:val="Normal"/>
    <w:rsid w:val="00C44657"/>
    <w:pPr>
      <w:widowControl/>
      <w:spacing w:before="100" w:beforeAutospacing="1" w:after="100" w:afterAutospacing="1"/>
      <w:jc w:val="left"/>
    </w:pPr>
    <w:rPr>
      <w:sz w:val="24"/>
      <w:lang w:eastAsia="id-ID"/>
    </w:rPr>
  </w:style>
  <w:style w:type="character" w:customStyle="1" w:styleId="normalchar">
    <w:name w:val="normal__char"/>
    <w:basedOn w:val="FontParagrafDefault"/>
    <w:rsid w:val="00C44657"/>
  </w:style>
  <w:style w:type="paragraph" w:customStyle="1" w:styleId="table0020grid">
    <w:name w:val="table_0020grid"/>
    <w:basedOn w:val="Normal"/>
    <w:rsid w:val="00C44657"/>
    <w:pPr>
      <w:widowControl/>
      <w:spacing w:before="100" w:beforeAutospacing="1" w:after="100" w:afterAutospacing="1"/>
      <w:jc w:val="left"/>
    </w:pPr>
    <w:rPr>
      <w:sz w:val="24"/>
      <w:lang w:eastAsia="id-ID"/>
    </w:rPr>
  </w:style>
  <w:style w:type="character" w:customStyle="1" w:styleId="table0020gridchar">
    <w:name w:val="table_0020grid__char"/>
    <w:basedOn w:val="FontParagrafDefault"/>
    <w:rsid w:val="00C44657"/>
  </w:style>
  <w:style w:type="character" w:customStyle="1" w:styleId="hpschar">
    <w:name w:val="hps__char"/>
    <w:basedOn w:val="FontParagrafDefault"/>
    <w:rsid w:val="00C44657"/>
  </w:style>
  <w:style w:type="paragraph" w:customStyle="1" w:styleId="normal0020table">
    <w:name w:val="normal_0020table"/>
    <w:basedOn w:val="Normal"/>
    <w:rsid w:val="00C44657"/>
    <w:pPr>
      <w:widowControl/>
      <w:spacing w:before="100" w:beforeAutospacing="1" w:after="100" w:afterAutospacing="1"/>
      <w:jc w:val="left"/>
    </w:pPr>
    <w:rPr>
      <w:sz w:val="24"/>
      <w:lang w:eastAsia="id-ID"/>
    </w:rPr>
  </w:style>
  <w:style w:type="character" w:customStyle="1" w:styleId="normal0020tablechar">
    <w:name w:val="normal_0020table__char"/>
    <w:basedOn w:val="FontParagrafDefault"/>
    <w:rsid w:val="00C44657"/>
  </w:style>
  <w:style w:type="paragraph" w:customStyle="1" w:styleId="table0020grid1">
    <w:name w:val="table_0020grid1"/>
    <w:basedOn w:val="Normal"/>
    <w:rsid w:val="00C44657"/>
    <w:pPr>
      <w:widowControl/>
      <w:spacing w:before="100" w:beforeAutospacing="1" w:after="100" w:afterAutospacing="1"/>
      <w:jc w:val="left"/>
    </w:pPr>
    <w:rPr>
      <w:sz w:val="24"/>
      <w:lang w:eastAsia="id-ID"/>
    </w:rPr>
  </w:style>
  <w:style w:type="character" w:customStyle="1" w:styleId="table0020grid1char">
    <w:name w:val="table_0020grid1__char"/>
    <w:basedOn w:val="FontParagrafDefault"/>
    <w:rsid w:val="00C44657"/>
  </w:style>
  <w:style w:type="paragraph" w:customStyle="1" w:styleId="table0020grid4">
    <w:name w:val="table_0020grid4"/>
    <w:basedOn w:val="Normal"/>
    <w:rsid w:val="00C44657"/>
    <w:pPr>
      <w:widowControl/>
      <w:spacing w:before="100" w:beforeAutospacing="1" w:after="100" w:afterAutospacing="1"/>
      <w:jc w:val="left"/>
    </w:pPr>
    <w:rPr>
      <w:sz w:val="24"/>
      <w:lang w:eastAsia="id-ID"/>
    </w:rPr>
  </w:style>
  <w:style w:type="character" w:customStyle="1" w:styleId="table0020grid4char">
    <w:name w:val="table_0020grid4__char"/>
    <w:basedOn w:val="FontParagrafDefault"/>
    <w:rsid w:val="00C44657"/>
  </w:style>
  <w:style w:type="paragraph" w:customStyle="1" w:styleId="table0020grid3">
    <w:name w:val="table_0020grid3"/>
    <w:basedOn w:val="Normal"/>
    <w:rsid w:val="00C44657"/>
    <w:pPr>
      <w:widowControl/>
      <w:spacing w:before="100" w:beforeAutospacing="1" w:after="100" w:afterAutospacing="1"/>
      <w:jc w:val="left"/>
    </w:pPr>
    <w:rPr>
      <w:sz w:val="24"/>
      <w:lang w:eastAsia="id-ID"/>
    </w:rPr>
  </w:style>
  <w:style w:type="character" w:customStyle="1" w:styleId="table0020grid3char">
    <w:name w:val="table_0020grid3__char"/>
    <w:basedOn w:val="FontParagrafDefault"/>
    <w:rsid w:val="00C44657"/>
  </w:style>
  <w:style w:type="table" w:customStyle="1" w:styleId="TableGrid1">
    <w:name w:val="Table Grid1"/>
    <w:basedOn w:val="TabelNormal"/>
    <w:rsid w:val="00C4465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1">
    <w:name w:val="Style1"/>
    <w:basedOn w:val="Normal"/>
    <w:rsid w:val="00C01E06"/>
    <w:pPr>
      <w:widowControl/>
      <w:spacing w:line="480" w:lineRule="auto"/>
    </w:pPr>
    <w:rPr>
      <w:sz w:val="24"/>
    </w:rPr>
  </w:style>
  <w:style w:type="paragraph" w:styleId="z-AtasdariFormulir">
    <w:name w:val="HTML Top of Form"/>
    <w:basedOn w:val="Normal"/>
    <w:next w:val="Normal"/>
    <w:hidden/>
    <w:semiHidden/>
    <w:unhideWhenUsed/>
    <w:rsid w:val="00C01E06"/>
    <w:pPr>
      <w:widowControl/>
      <w:pBdr>
        <w:bottom w:val="single" w:sz="6" w:space="1" w:color="auto"/>
      </w:pBdr>
      <w:jc w:val="center"/>
    </w:pPr>
    <w:rPr>
      <w:rFonts w:ascii="Arial" w:hAnsi="Arial"/>
      <w:vanish/>
      <w:sz w:val="16"/>
      <w:szCs w:val="16"/>
      <w:lang w:val="id-ID" w:eastAsia="id-ID"/>
    </w:rPr>
  </w:style>
  <w:style w:type="character" w:customStyle="1" w:styleId="gt-ft-text">
    <w:name w:val="gt-ft-text"/>
    <w:basedOn w:val="FontParagrafDefault"/>
    <w:rsid w:val="00C01E06"/>
  </w:style>
  <w:style w:type="paragraph" w:customStyle="1" w:styleId="Style8">
    <w:name w:val="Style 8"/>
    <w:uiPriority w:val="99"/>
    <w:rsid w:val="004016BE"/>
    <w:pPr>
      <w:widowControl w:val="0"/>
      <w:autoSpaceDE w:val="0"/>
      <w:autoSpaceDN w:val="0"/>
      <w:spacing w:before="180" w:line="360" w:lineRule="auto"/>
      <w:ind w:left="720"/>
    </w:pPr>
    <w:rPr>
      <w:i/>
      <w:iCs/>
      <w:sz w:val="22"/>
      <w:szCs w:val="22"/>
    </w:rPr>
  </w:style>
  <w:style w:type="character" w:customStyle="1" w:styleId="CharacterStyle2">
    <w:name w:val="Character Style 2"/>
    <w:uiPriority w:val="99"/>
    <w:rsid w:val="004016BE"/>
    <w:rPr>
      <w:i/>
      <w:iCs/>
      <w:sz w:val="22"/>
      <w:szCs w:val="22"/>
    </w:rPr>
  </w:style>
  <w:style w:type="paragraph" w:customStyle="1" w:styleId="aa">
    <w:name w:val="aa"/>
    <w:basedOn w:val="Normal"/>
    <w:link w:val="aaChar"/>
    <w:qFormat/>
    <w:rsid w:val="005D097E"/>
    <w:pPr>
      <w:widowControl/>
      <w:tabs>
        <w:tab w:val="left" w:pos="426"/>
        <w:tab w:val="left" w:pos="851"/>
        <w:tab w:val="left" w:pos="1418"/>
        <w:tab w:val="left" w:pos="1843"/>
        <w:tab w:val="left" w:pos="2268"/>
        <w:tab w:val="left" w:pos="2694"/>
        <w:tab w:val="left" w:pos="3119"/>
        <w:tab w:val="left" w:pos="3544"/>
        <w:tab w:val="left" w:pos="3969"/>
        <w:tab w:val="left" w:pos="4395"/>
        <w:tab w:val="left" w:pos="4820"/>
      </w:tabs>
      <w:spacing w:line="480" w:lineRule="auto"/>
      <w:ind w:firstLine="851"/>
    </w:pPr>
    <w:rPr>
      <w:rFonts w:ascii="Arial" w:eastAsia="Calibri" w:hAnsi="Arial"/>
      <w:sz w:val="24"/>
    </w:rPr>
  </w:style>
  <w:style w:type="character" w:customStyle="1" w:styleId="aaChar">
    <w:name w:val="aa Char"/>
    <w:link w:val="aa"/>
    <w:rsid w:val="005D097E"/>
    <w:rPr>
      <w:rFonts w:ascii="Arial" w:eastAsia="Calibri" w:hAnsi="Arial"/>
      <w:sz w:val="24"/>
      <w:szCs w:val="24"/>
      <w:lang w:val="en-US"/>
    </w:rPr>
  </w:style>
  <w:style w:type="character" w:styleId="ReferensiCatatanKaki">
    <w:name w:val="footnote reference"/>
    <w:uiPriority w:val="99"/>
    <w:unhideWhenUsed/>
    <w:rsid w:val="005D097E"/>
    <w:rPr>
      <w:vertAlign w:val="superscript"/>
    </w:rPr>
  </w:style>
  <w:style w:type="character" w:customStyle="1" w:styleId="hps">
    <w:name w:val="hps"/>
    <w:basedOn w:val="FontParagrafDefault"/>
    <w:rsid w:val="005D097E"/>
  </w:style>
  <w:style w:type="paragraph" w:styleId="TeksCatatanAkhir">
    <w:name w:val="endnote text"/>
    <w:basedOn w:val="Normal"/>
    <w:link w:val="TeksCatatanAkhirKAR"/>
    <w:uiPriority w:val="99"/>
    <w:unhideWhenUsed/>
    <w:rsid w:val="005D097E"/>
    <w:pPr>
      <w:widowControl/>
      <w:jc w:val="left"/>
    </w:pPr>
    <w:rPr>
      <w:rFonts w:ascii="Calibri" w:eastAsia="Calibri" w:hAnsi="Calibri"/>
      <w:szCs w:val="20"/>
      <w:lang w:val="id-ID"/>
    </w:rPr>
  </w:style>
  <w:style w:type="character" w:customStyle="1" w:styleId="TeksCatatanAkhirKAR">
    <w:name w:val="Teks Catatan Akhir KAR"/>
    <w:link w:val="TeksCatatanAkhir"/>
    <w:uiPriority w:val="99"/>
    <w:rsid w:val="005D097E"/>
    <w:rPr>
      <w:rFonts w:ascii="Calibri" w:eastAsia="Calibri" w:hAnsi="Calibri"/>
    </w:rPr>
  </w:style>
  <w:style w:type="character" w:styleId="ReferensiCatatanAkhir">
    <w:name w:val="endnote reference"/>
    <w:uiPriority w:val="99"/>
    <w:unhideWhenUsed/>
    <w:rsid w:val="005D097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Printing\Perbanas\Ventura\Template%20Jurnal%20Ventura%20Versi%20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 ma:contentTypeID="0x010100B2080AF521801B42BB8ABDF18FF46E5B" ma:contentTypeVersion="7" ma:contentTypeDescription="Buat sebuah dokumen baru." ma:contentTypeScope="" ma:versionID="5bbb92ce29ce18c0dc7f4f37c296d6c7">
  <xsd:schema xmlns:xsd="http://www.w3.org/2001/XMLSchema" xmlns:xs="http://www.w3.org/2001/XMLSchema" xmlns:p="http://schemas.microsoft.com/office/2006/metadata/properties" xmlns:ns3="83170349-d26c-4024-8180-affeed098154" xmlns:ns4="e17ba96d-a735-4f91-961c-f7435a7e619f" targetNamespace="http://schemas.microsoft.com/office/2006/metadata/properties" ma:root="true" ma:fieldsID="6fd75d70f322d2318b32a7714f571c8b" ns3:_="" ns4:_="">
    <xsd:import namespace="83170349-d26c-4024-8180-affeed098154"/>
    <xsd:import namespace="e17ba96d-a735-4f91-961c-f7435a7e619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170349-d26c-4024-8180-affeed0981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7ba96d-a735-4f91-961c-f7435a7e619f" elementFormDefault="qualified">
    <xsd:import namespace="http://schemas.microsoft.com/office/2006/documentManagement/types"/>
    <xsd:import namespace="http://schemas.microsoft.com/office/infopath/2007/PartnerControls"/>
    <xsd:element name="SharedWithUsers" ma:index="10" nillable="true" ma:displayName="Dibagikan Denga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ibagikan Dengan Detail" ma:internalName="SharedWithDetails" ma:readOnly="true">
      <xsd:simpleType>
        <xsd:restriction base="dms:Note">
          <xsd:maxLength value="255"/>
        </xsd:restriction>
      </xsd:simpleType>
    </xsd:element>
    <xsd:element name="SharingHintHash" ma:index="12" nillable="true" ma:displayName="Berbagi Hash Petunjuk"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e Isi"/>
        <xsd:element ref="dc:title" minOccurs="0" maxOccurs="1" ma:index="4" ma:displayName="Judu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570156-DE65-4293-BA2B-B2F7A23BF858}">
  <ds:schemaRefs>
    <ds:schemaRef ds:uri="http://schemas.microsoft.com/office/2006/metadata/contentType"/>
    <ds:schemaRef ds:uri="http://schemas.microsoft.com/office/2006/metadata/properties/metaAttributes"/>
    <ds:schemaRef ds:uri="http://www.w3.org/2000/xmlns/"/>
    <ds:schemaRef ds:uri="http://www.w3.org/2001/XMLSchema"/>
    <ds:schemaRef ds:uri="83170349-d26c-4024-8180-affeed098154"/>
    <ds:schemaRef ds:uri="e17ba96d-a735-4f91-961c-f7435a7e619f"/>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225902-8E6A-413C-ACE7-76DA98B32685}">
  <ds:schemaRefs>
    <ds:schemaRef ds:uri="http://schemas.openxmlformats.org/officeDocument/2006/bibliography"/>
    <ds:schemaRef ds:uri="http://www.w3.org/2000/xmlns/"/>
  </ds:schemaRefs>
</ds:datastoreItem>
</file>

<file path=customXml/itemProps3.xml><?xml version="1.0" encoding="utf-8"?>
<ds:datastoreItem xmlns:ds="http://schemas.openxmlformats.org/officeDocument/2006/customXml" ds:itemID="{F90F28EE-50CD-49C9-84FD-51E66406AD81}">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83170349-d26c-4024-8180-affeed098154"/>
    <ds:schemaRef ds:uri="http://schemas.microsoft.com/office/infopath/2007/PartnerControls"/>
    <ds:schemaRef ds:uri="http://purl.org/dc/elements/1.1/"/>
    <ds:schemaRef ds:uri="e17ba96d-a735-4f91-961c-f7435a7e619f"/>
    <ds:schemaRef ds:uri="http://www.w3.org/XML/1998/namespace"/>
    <ds:schemaRef ds:uri="http://purl.org/dc/dcmitype/"/>
  </ds:schemaRefs>
</ds:datastoreItem>
</file>

<file path=customXml/itemProps4.xml><?xml version="1.0" encoding="utf-8"?>
<ds:datastoreItem xmlns:ds="http://schemas.openxmlformats.org/officeDocument/2006/customXml" ds:itemID="{DC9E28DE-4CDA-4586-BAC8-C59987D4E4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 Jurnal Ventura Versi 2.0</Template>
  <TotalTime>0</TotalTime>
  <Pages>9</Pages>
  <Words>18780</Words>
  <Characters>107048</Characters>
  <Application>Microsoft Office Word</Application>
  <DocSecurity>0</DocSecurity>
  <Lines>892</Lines>
  <Paragraphs>251</Paragraphs>
  <ScaleCrop>false</ScaleCrop>
  <HeadingPairs>
    <vt:vector size="2" baseType="variant">
      <vt:variant>
        <vt:lpstr>Title</vt:lpstr>
      </vt:variant>
      <vt:variant>
        <vt:i4>1</vt:i4>
      </vt:variant>
    </vt:vector>
  </HeadingPairs>
  <TitlesOfParts>
    <vt:vector size="1" baseType="lpstr">
      <vt:lpstr>THE TITLE SHOULD BE AT MOST 12 WORDS LENGTH, WRITTEN IN TIMES NEW ROMAN FONT, SIZE 14, BOLD AND CENTERED</vt:lpstr>
    </vt:vector>
  </TitlesOfParts>
  <Company>Person of ITS-UA</Company>
  <LinksUpToDate>false</LinksUpToDate>
  <CharactersWithSpaces>125577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TITLE SHOULD BE AT MOST 12 WORDS LENGTH, WRITTEN IN TIMES NEW ROMAN FONT, SIZE 14, BOLD AND CENTERED</dc:title>
  <dc:creator>Student ITS-UA</dc:creator>
  <cp:lastModifiedBy>LUTFI</cp:lastModifiedBy>
  <cp:revision>2</cp:revision>
  <cp:lastPrinted>2015-05-19T15:15:00Z</cp:lastPrinted>
  <dcterms:created xsi:type="dcterms:W3CDTF">2021-07-04T10:32:00Z</dcterms:created>
  <dcterms:modified xsi:type="dcterms:W3CDTF">2021-07-04T10:32:00Z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0x010100B2080AF521801B42BB8ABDF18FF46E5B</vt:lpwstr>
  </property>
  <property fmtid="{D5CDD505-2E9C-101B-9397-08002B2CF9AE}" pid="3" name="Mendeley Citation Style_1">
    <vt:lpwstr>http://www.zotero.org/styles/apa</vt:lpwstr>
  </property>
  <property fmtid="{D5CDD505-2E9C-101B-9397-08002B2CF9AE}" pid="4" name="Mendeley Document_1">
    <vt:lpwstr>True</vt:lpwstr>
  </property>
  <property fmtid="{D5CDD505-2E9C-101B-9397-08002B2CF9AE}" pid="5" name="Mendeley Recent Style Id 0_1">
    <vt:lpwstr>http://www.zotero.org/styles/american-medical-association</vt:lpwstr>
  </property>
  <property fmtid="{D5CDD505-2E9C-101B-9397-08002B2CF9AE}" pid="6" name="Mendeley Recent Style Id 1_1">
    <vt:lpwstr>http://www.zotero.org/styles/american-political-science-association</vt:lpwstr>
  </property>
  <property fmtid="{D5CDD505-2E9C-101B-9397-08002B2CF9AE}" pid="7" name="Mendeley Recent Style Id 2_1">
    <vt:lpwstr>http://www.zotero.org/styles/apa</vt:lpwstr>
  </property>
  <property fmtid="{D5CDD505-2E9C-101B-9397-08002B2CF9AE}" pid="8" name="Mendeley Recent Style Id 3_1">
    <vt:lpwstr>http://www.zotero.org/styles/american-sociological-association</vt:lpwstr>
  </property>
  <property fmtid="{D5CDD505-2E9C-101B-9397-08002B2CF9AE}" pid="9" name="Mendeley Recent Style Id 4_1">
    <vt:lpwstr>http://www.zotero.org/styles/chicago-author-date</vt:lpwstr>
  </property>
  <property fmtid="{D5CDD505-2E9C-101B-9397-08002B2CF9AE}" pid="10" name="Mendeley Recent Style Id 5_1">
    <vt:lpwstr>http://www.zotero.org/styles/harvard-cite-them-right</vt:lpwstr>
  </property>
  <property fmtid="{D5CDD505-2E9C-101B-9397-08002B2CF9AE}" pid="11" name="Mendeley Recent Style Id 6_1">
    <vt:lpwstr>http://www.zotero.org/styles/ieee</vt:lpwstr>
  </property>
  <property fmtid="{D5CDD505-2E9C-101B-9397-08002B2CF9AE}" pid="12" name="Mendeley Recent Style Id 7_1">
    <vt:lpwstr>http://www.zotero.org/styles/modern-humanities-research-association</vt:lpwstr>
  </property>
  <property fmtid="{D5CDD505-2E9C-101B-9397-08002B2CF9AE}" pid="13" name="Mendeley Recent Style Id 8_1">
    <vt:lpwstr>http://www.zotero.org/styles/modern-language-association</vt:lpwstr>
  </property>
  <property fmtid="{D5CDD505-2E9C-101B-9397-08002B2CF9AE}" pid="14" name="Mendeley Recent Style Id 9_1">
    <vt:lpwstr>http://www.zotero.org/styles/nature</vt:lpwstr>
  </property>
  <property fmtid="{D5CDD505-2E9C-101B-9397-08002B2CF9AE}" pid="15" name="Mendeley Recent Style Name 0_1">
    <vt:lpwstr>American Medical Association 11th edition</vt:lpwstr>
  </property>
  <property fmtid="{D5CDD505-2E9C-101B-9397-08002B2CF9AE}" pid="16" name="Mendeley Recent Style Name 1_1">
    <vt:lpwstr>American Political Science Association</vt:lpwstr>
  </property>
  <property fmtid="{D5CDD505-2E9C-101B-9397-08002B2CF9AE}" pid="17" name="Mendeley Recent Style Name 2_1">
    <vt:lpwstr>American Psychological Association 7th edition</vt:lpwstr>
  </property>
  <property fmtid="{D5CDD505-2E9C-101B-9397-08002B2CF9AE}" pid="18" name="Mendeley Recent Style Name 3_1">
    <vt:lpwstr>American Sociological Association 6th edition</vt:lpwstr>
  </property>
  <property fmtid="{D5CDD505-2E9C-101B-9397-08002B2CF9AE}" pid="19" name="Mendeley Recent Style Name 4_1">
    <vt:lpwstr>Chicago Manual of Style 17th edition (author-date)</vt:lpwstr>
  </property>
  <property fmtid="{D5CDD505-2E9C-101B-9397-08002B2CF9AE}" pid="20" name="Mendeley Recent Style Name 5_1">
    <vt:lpwstr>Cite Them Right 10th edition - Harvard</vt:lpwstr>
  </property>
  <property fmtid="{D5CDD505-2E9C-101B-9397-08002B2CF9AE}" pid="21" name="Mendeley Recent Style Name 6_1">
    <vt:lpwstr>IEEE</vt:lpwstr>
  </property>
  <property fmtid="{D5CDD505-2E9C-101B-9397-08002B2CF9AE}" pid="22" name="Mendeley Recent Style Name 7_1">
    <vt:lpwstr>Modern Humanities Research Association 3rd edition (note with bibliography)</vt:lpwstr>
  </property>
  <property fmtid="{D5CDD505-2E9C-101B-9397-08002B2CF9AE}" pid="23" name="Mendeley Recent Style Name 8_1">
    <vt:lpwstr>Modern Language Association 8th edition</vt:lpwstr>
  </property>
  <property fmtid="{D5CDD505-2E9C-101B-9397-08002B2CF9AE}" pid="24" name="Mendeley Recent Style Name 9_1">
    <vt:lpwstr>Nature</vt:lpwstr>
  </property>
  <property fmtid="{D5CDD505-2E9C-101B-9397-08002B2CF9AE}" pid="25" name="Mendeley Unique User Id_1">
    <vt:lpwstr>c8e7db80-dab1-3e75-89c5-423b41dad235</vt:lpwstr>
  </property>
</Properties>
</file>