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095" w:rsidRPr="00570BA4" w:rsidRDefault="00E90A84" w:rsidP="00737095">
      <w:pPr>
        <w:pStyle w:val="Title"/>
        <w:rPr>
          <w:rFonts w:ascii="Book Antiqua" w:hAnsi="Book Antiqua"/>
          <w:color w:val="000000" w:themeColor="text1"/>
          <w:sz w:val="32"/>
          <w:szCs w:val="32"/>
        </w:rPr>
      </w:pPr>
      <w:bookmarkStart w:id="0" w:name="OLE_LINK1"/>
      <w:bookmarkStart w:id="1" w:name="OLE_LINK2"/>
      <w:r w:rsidRPr="00570BA4">
        <w:rPr>
          <w:rFonts w:ascii="Book Antiqua" w:hAnsi="Book Antiqua"/>
          <w:color w:val="000000" w:themeColor="text1"/>
          <w:sz w:val="32"/>
          <w:szCs w:val="32"/>
        </w:rPr>
        <w:t>T</w:t>
      </w:r>
      <w:r w:rsidR="00C72E83" w:rsidRPr="00570BA4">
        <w:rPr>
          <w:rFonts w:ascii="Book Antiqua" w:hAnsi="Book Antiqua"/>
          <w:color w:val="000000" w:themeColor="text1"/>
          <w:sz w:val="32"/>
          <w:szCs w:val="32"/>
        </w:rPr>
        <w:t xml:space="preserve">he Impact of COVID-19 Pandemic </w:t>
      </w:r>
      <w:r w:rsidRPr="00570BA4">
        <w:rPr>
          <w:rFonts w:ascii="Book Antiqua" w:hAnsi="Book Antiqua"/>
          <w:color w:val="000000" w:themeColor="text1"/>
          <w:sz w:val="32"/>
          <w:szCs w:val="32"/>
        </w:rPr>
        <w:t xml:space="preserve">on </w:t>
      </w:r>
      <w:r w:rsidR="00CC1169" w:rsidRPr="00570BA4">
        <w:rPr>
          <w:rFonts w:ascii="Book Antiqua" w:hAnsi="Book Antiqua"/>
          <w:color w:val="000000" w:themeColor="text1"/>
          <w:sz w:val="32"/>
          <w:szCs w:val="32"/>
        </w:rPr>
        <w:t xml:space="preserve">the </w:t>
      </w:r>
      <w:r w:rsidRPr="00570BA4">
        <w:rPr>
          <w:rFonts w:ascii="Book Antiqua" w:hAnsi="Book Antiqua"/>
          <w:color w:val="000000" w:themeColor="text1"/>
          <w:sz w:val="32"/>
          <w:szCs w:val="32"/>
        </w:rPr>
        <w:t>Financial</w:t>
      </w:r>
    </w:p>
    <w:p w:rsidR="00C72E83" w:rsidRPr="00570BA4" w:rsidRDefault="00E90A84" w:rsidP="00737095">
      <w:pPr>
        <w:pStyle w:val="Title"/>
        <w:rPr>
          <w:rFonts w:ascii="Book Antiqua" w:hAnsi="Book Antiqua"/>
          <w:color w:val="000000" w:themeColor="text1"/>
          <w:sz w:val="32"/>
          <w:szCs w:val="32"/>
        </w:rPr>
      </w:pPr>
      <w:r w:rsidRPr="00570BA4">
        <w:rPr>
          <w:rFonts w:ascii="Book Antiqua" w:hAnsi="Book Antiqua"/>
          <w:color w:val="000000" w:themeColor="text1"/>
          <w:sz w:val="32"/>
          <w:szCs w:val="32"/>
        </w:rPr>
        <w:t>Performance of Firms</w:t>
      </w:r>
      <w:r w:rsidR="00CC1169" w:rsidRPr="00570BA4">
        <w:rPr>
          <w:rFonts w:ascii="Book Antiqua" w:hAnsi="Book Antiqua"/>
          <w:color w:val="000000" w:themeColor="text1"/>
          <w:sz w:val="32"/>
          <w:szCs w:val="32"/>
        </w:rPr>
        <w:t xml:space="preserve"> on </w:t>
      </w:r>
      <w:r w:rsidRPr="00570BA4">
        <w:rPr>
          <w:rFonts w:ascii="Book Antiqua" w:hAnsi="Book Antiqua"/>
          <w:color w:val="000000" w:themeColor="text1"/>
          <w:sz w:val="32"/>
          <w:szCs w:val="32"/>
        </w:rPr>
        <w:t xml:space="preserve">the </w:t>
      </w:r>
      <w:r w:rsidR="00A043E3" w:rsidRPr="00570BA4">
        <w:rPr>
          <w:rFonts w:ascii="Book Antiqua" w:hAnsi="Book Antiqua"/>
          <w:color w:val="000000" w:themeColor="text1"/>
          <w:sz w:val="32"/>
          <w:szCs w:val="32"/>
        </w:rPr>
        <w:t>Indonesia</w:t>
      </w:r>
      <w:r w:rsidRPr="00570BA4">
        <w:rPr>
          <w:rFonts w:ascii="Book Antiqua" w:hAnsi="Book Antiqua"/>
          <w:color w:val="000000" w:themeColor="text1"/>
          <w:sz w:val="32"/>
          <w:szCs w:val="32"/>
        </w:rPr>
        <w:t xml:space="preserve"> Stock Exchange</w:t>
      </w:r>
    </w:p>
    <w:bookmarkEnd w:id="0"/>
    <w:bookmarkEnd w:id="1"/>
    <w:p w:rsidR="00C72E83" w:rsidRPr="00570BA4" w:rsidRDefault="00C72E83" w:rsidP="000B0B83">
      <w:pPr>
        <w:pStyle w:val="Ventura-Author"/>
        <w:rPr>
          <w:color w:val="000000" w:themeColor="text1"/>
        </w:rPr>
      </w:pPr>
    </w:p>
    <w:p w:rsidR="00DF481C" w:rsidRPr="00570BA4" w:rsidRDefault="00E90A84" w:rsidP="000B0B83">
      <w:pPr>
        <w:pStyle w:val="Ventura-Author"/>
        <w:rPr>
          <w:color w:val="000000" w:themeColor="text1"/>
        </w:rPr>
      </w:pPr>
      <w:r w:rsidRPr="00570BA4">
        <w:rPr>
          <w:color w:val="000000" w:themeColor="text1"/>
        </w:rPr>
        <w:t>Sunitha Devi</w:t>
      </w:r>
      <w:r w:rsidR="00737095" w:rsidRPr="00570BA4">
        <w:rPr>
          <w:color w:val="000000" w:themeColor="text1"/>
          <w:vertAlign w:val="superscript"/>
        </w:rPr>
        <w:t>*</w:t>
      </w:r>
      <w:r w:rsidRPr="00570BA4">
        <w:rPr>
          <w:color w:val="000000" w:themeColor="text1"/>
        </w:rPr>
        <w:t>, Ni Made Sindy Warasniasih, Putu Riesty Masdiantini</w:t>
      </w:r>
    </w:p>
    <w:p w:rsidR="00A95189" w:rsidRPr="00570BA4" w:rsidRDefault="00A95189" w:rsidP="005E10ED">
      <w:pPr>
        <w:pStyle w:val="Ventura-AuthorAddress"/>
        <w:rPr>
          <w:color w:val="000000" w:themeColor="text1"/>
        </w:rPr>
      </w:pPr>
    </w:p>
    <w:p w:rsidR="00C72E83" w:rsidRPr="00570BA4" w:rsidRDefault="00E90A84" w:rsidP="00C72E83">
      <w:pPr>
        <w:pStyle w:val="Ventura-AuthorAddress"/>
        <w:rPr>
          <w:color w:val="000000" w:themeColor="text1"/>
        </w:rPr>
      </w:pPr>
      <w:r w:rsidRPr="00570BA4">
        <w:rPr>
          <w:color w:val="000000" w:themeColor="text1"/>
        </w:rPr>
        <w:t>Universitas Pendidikan Ganesha, Bali, Indonesia.</w:t>
      </w:r>
    </w:p>
    <w:p w:rsidR="00982C26" w:rsidRDefault="00982C26" w:rsidP="00982C26">
      <w:pPr>
        <w:pStyle w:val="Ventura-AbstractTitle"/>
        <w:rPr>
          <w:color w:val="000000" w:themeColor="text1"/>
        </w:rPr>
      </w:pPr>
    </w:p>
    <w:p w:rsidR="00B43EE4" w:rsidRPr="002B4317" w:rsidRDefault="00B43EE4" w:rsidP="00B43EE4">
      <w:pPr>
        <w:pStyle w:val="Ventura-AbstractTitle"/>
      </w:pPr>
      <w:r w:rsidRPr="002B4317">
        <w:t>ARTICLE INFO</w:t>
      </w:r>
    </w:p>
    <w:p w:rsidR="00B43EE4" w:rsidRPr="002B4317" w:rsidRDefault="00B43EE4" w:rsidP="00B43EE4">
      <w:pPr>
        <w:pStyle w:val="Ventura-Keyword"/>
        <w:rPr>
          <w:b/>
          <w:bCs/>
        </w:rPr>
      </w:pPr>
      <w:r w:rsidRPr="002B4317">
        <w:rPr>
          <w:b/>
          <w:bCs/>
        </w:rPr>
        <w:t>Article history:</w:t>
      </w:r>
    </w:p>
    <w:p w:rsidR="00B43EE4" w:rsidRPr="002B4317" w:rsidRDefault="00B43EE4" w:rsidP="00B43EE4">
      <w:pPr>
        <w:pStyle w:val="StyleVentura-KeywordNotItalic"/>
      </w:pPr>
      <w:r w:rsidRPr="002B4317">
        <w:t xml:space="preserve">Received </w:t>
      </w:r>
      <w:r>
        <w:t>23 August</w:t>
      </w:r>
      <w:r>
        <w:t xml:space="preserve"> 2020</w:t>
      </w:r>
    </w:p>
    <w:p w:rsidR="00B43EE4" w:rsidRPr="002B4317" w:rsidRDefault="00B43EE4" w:rsidP="00B43EE4">
      <w:pPr>
        <w:pStyle w:val="StyleVentura-KeywordNotItalic"/>
      </w:pPr>
      <w:r w:rsidRPr="002B4317">
        <w:t xml:space="preserve">Revised </w:t>
      </w:r>
      <w:r>
        <w:t>21 October</w:t>
      </w:r>
      <w:r>
        <w:t xml:space="preserve"> 2020</w:t>
      </w:r>
    </w:p>
    <w:p w:rsidR="00B43EE4" w:rsidRPr="002B4317" w:rsidRDefault="00B43EE4" w:rsidP="00B43EE4">
      <w:pPr>
        <w:pStyle w:val="StyleVentura-KeywordNotItalic"/>
      </w:pPr>
      <w:r w:rsidRPr="002B4317">
        <w:t xml:space="preserve">Accepted </w:t>
      </w:r>
      <w:r>
        <w:t>13 November 2020</w:t>
      </w:r>
    </w:p>
    <w:p w:rsidR="00B43EE4" w:rsidRPr="002B4317" w:rsidRDefault="00B43EE4" w:rsidP="00B43EE4">
      <w:pPr>
        <w:pStyle w:val="StyleVentura-KeywordNotItalic"/>
      </w:pPr>
    </w:p>
    <w:p w:rsidR="00B43EE4" w:rsidRPr="002B4317" w:rsidRDefault="00B43EE4" w:rsidP="00B43EE4">
      <w:pPr>
        <w:pStyle w:val="Ventura-Keyword"/>
        <w:rPr>
          <w:b/>
          <w:bCs/>
        </w:rPr>
      </w:pPr>
      <w:r w:rsidRPr="002B4317">
        <w:rPr>
          <w:b/>
          <w:bCs/>
        </w:rPr>
        <w:t>JEL Classification:</w:t>
      </w:r>
    </w:p>
    <w:p w:rsidR="00B43EE4" w:rsidRDefault="00B43EE4" w:rsidP="00B43EE4">
      <w:pPr>
        <w:pStyle w:val="StyleVentura-KeywordNotItalic"/>
        <w:rPr>
          <w:rFonts w:ascii="Arial" w:hAnsi="Arial" w:cs="Arial"/>
          <w:color w:val="000000"/>
          <w:sz w:val="20"/>
          <w:szCs w:val="20"/>
        </w:rPr>
      </w:pPr>
      <w:r>
        <w:rPr>
          <w:rFonts w:ascii="Arial" w:hAnsi="Arial" w:cs="Arial"/>
          <w:color w:val="000000"/>
          <w:sz w:val="20"/>
          <w:szCs w:val="20"/>
        </w:rPr>
        <w:t>I18, L21, L25</w:t>
      </w:r>
    </w:p>
    <w:p w:rsidR="00B43EE4" w:rsidRPr="002B4317" w:rsidRDefault="00B43EE4" w:rsidP="00B43EE4">
      <w:pPr>
        <w:pStyle w:val="StyleVentura-KeywordNotItalic"/>
      </w:pPr>
    </w:p>
    <w:p w:rsidR="00B43EE4" w:rsidRPr="002B4317" w:rsidRDefault="00B43EE4" w:rsidP="00B43EE4">
      <w:pPr>
        <w:pStyle w:val="Ventura-Keyword"/>
      </w:pPr>
      <w:r w:rsidRPr="002B4317">
        <w:rPr>
          <w:rStyle w:val="StyleVentura-KeywordLatinBoldChar"/>
        </w:rPr>
        <w:t>Keywords:</w:t>
      </w:r>
      <w:r w:rsidRPr="002B4317">
        <w:t xml:space="preserve"> </w:t>
      </w:r>
    </w:p>
    <w:p w:rsidR="00B43EE4" w:rsidRPr="00570BA4" w:rsidRDefault="00B43EE4" w:rsidP="00B43EE4">
      <w:pPr>
        <w:pStyle w:val="Ventura-AuthorAddress"/>
        <w:rPr>
          <w:color w:val="000000" w:themeColor="text1"/>
          <w:sz w:val="18"/>
          <w:szCs w:val="18"/>
        </w:rPr>
      </w:pPr>
      <w:r w:rsidRPr="00570BA4">
        <w:rPr>
          <w:color w:val="000000" w:themeColor="text1"/>
          <w:sz w:val="18"/>
          <w:szCs w:val="18"/>
        </w:rPr>
        <w:t>Current Ratio, DER, ROA, Receivable Turnover</w:t>
      </w:r>
    </w:p>
    <w:p w:rsidR="00B43EE4" w:rsidRPr="002B4317" w:rsidRDefault="00B43EE4" w:rsidP="00B43EE4">
      <w:pPr>
        <w:pStyle w:val="Ventura-Abstract"/>
        <w:rPr>
          <w:i w:val="0"/>
          <w:iCs/>
        </w:rPr>
      </w:pPr>
    </w:p>
    <w:p w:rsidR="00B43EE4" w:rsidRDefault="00B43EE4" w:rsidP="00B43EE4">
      <w:pPr>
        <w:pStyle w:val="Ventura-Keyword"/>
        <w:rPr>
          <w:b/>
          <w:bCs/>
        </w:rPr>
      </w:pPr>
      <w:r w:rsidRPr="002B4317">
        <w:rPr>
          <w:b/>
          <w:bCs/>
        </w:rPr>
        <w:t>DOI:</w:t>
      </w:r>
    </w:p>
    <w:p w:rsidR="00B43EE4" w:rsidRPr="00B43EE4" w:rsidRDefault="00B43EE4" w:rsidP="00B43EE4">
      <w:pPr>
        <w:pStyle w:val="Ventura-Keyword"/>
        <w:rPr>
          <w:b/>
          <w:bCs/>
          <w:color w:val="000000" w:themeColor="text1"/>
        </w:rPr>
      </w:pPr>
      <w:hyperlink r:id="rId7" w:history="1">
        <w:r w:rsidRPr="00B43EE4">
          <w:rPr>
            <w:rStyle w:val="Hyperlink"/>
            <w:rFonts w:ascii="Tahoma" w:hAnsi="Tahoma" w:cs="Tahoma"/>
            <w:color w:val="000000" w:themeColor="text1"/>
            <w:sz w:val="16"/>
            <w:szCs w:val="16"/>
          </w:rPr>
          <w:t>10.14414/jebav.v23i2.</w:t>
        </w:r>
      </w:hyperlink>
      <w:r w:rsidRPr="00B43EE4">
        <w:rPr>
          <w:color w:val="000000" w:themeColor="text1"/>
        </w:rPr>
        <w:t>2313</w:t>
      </w:r>
    </w:p>
    <w:p w:rsidR="00B43EE4" w:rsidRDefault="00B43EE4" w:rsidP="00982C26">
      <w:pPr>
        <w:pStyle w:val="Ventura-AbstractTitle"/>
      </w:pPr>
    </w:p>
    <w:p w:rsidR="00982C26" w:rsidRPr="00570BA4" w:rsidRDefault="00E90A84" w:rsidP="00982C26">
      <w:pPr>
        <w:pStyle w:val="Ventura-AbstractTitle"/>
        <w:rPr>
          <w:color w:val="000000" w:themeColor="text1"/>
        </w:rPr>
      </w:pPr>
      <w:r w:rsidRPr="00570BA4">
        <w:rPr>
          <w:color w:val="000000" w:themeColor="text1"/>
        </w:rPr>
        <w:t>ABSTRACT</w:t>
      </w:r>
    </w:p>
    <w:p w:rsidR="00C72E83" w:rsidRPr="00570BA4" w:rsidRDefault="00E90A84" w:rsidP="00C72E83">
      <w:pPr>
        <w:pStyle w:val="Ventura-AuthorAddress"/>
        <w:rPr>
          <w:color w:val="000000" w:themeColor="text1"/>
          <w:sz w:val="18"/>
          <w:szCs w:val="18"/>
          <w:lang w:val="id-ID"/>
        </w:rPr>
      </w:pPr>
      <w:r w:rsidRPr="00570BA4">
        <w:rPr>
          <w:color w:val="000000" w:themeColor="text1"/>
          <w:sz w:val="18"/>
          <w:szCs w:val="18"/>
        </w:rPr>
        <w:t xml:space="preserve">The COVID-19 pandemic has harmed the national economy and caused a decline in various businesses' financial performance. </w:t>
      </w:r>
      <w:r w:rsidR="00A043E3" w:rsidRPr="00570BA4">
        <w:rPr>
          <w:rStyle w:val="tlid-translation"/>
          <w:color w:val="000000" w:themeColor="text1"/>
          <w:sz w:val="18"/>
          <w:szCs w:val="18"/>
          <w:lang w:val="en"/>
        </w:rPr>
        <w:t>This study aims to examine the impact of the COVID-19 p</w:t>
      </w:r>
      <w:r w:rsidR="00CC1169" w:rsidRPr="00570BA4">
        <w:rPr>
          <w:rStyle w:val="tlid-translation"/>
          <w:color w:val="000000" w:themeColor="text1"/>
          <w:sz w:val="18"/>
          <w:szCs w:val="18"/>
          <w:lang w:val="en"/>
        </w:rPr>
        <w:t>andemic on firms' financial</w:t>
      </w:r>
      <w:r w:rsidR="00A043E3" w:rsidRPr="00570BA4">
        <w:rPr>
          <w:rStyle w:val="tlid-translation"/>
          <w:color w:val="000000" w:themeColor="text1"/>
          <w:sz w:val="18"/>
          <w:szCs w:val="18"/>
          <w:lang w:val="en"/>
        </w:rPr>
        <w:t xml:space="preserve"> performance listed on the Indonesia Stock Exchange</w:t>
      </w:r>
      <w:r w:rsidRPr="00570BA4">
        <w:rPr>
          <w:color w:val="000000" w:themeColor="text1"/>
          <w:sz w:val="18"/>
          <w:szCs w:val="18"/>
        </w:rPr>
        <w:t>. The research samples included 214 companies, which were divided proportionally into nine sectors or 49 sub-sectors. Data analysis used was the Wilcoxon Sign</w:t>
      </w:r>
      <w:r w:rsidR="0077184F" w:rsidRPr="00570BA4">
        <w:rPr>
          <w:color w:val="000000" w:themeColor="text1"/>
          <w:sz w:val="18"/>
          <w:szCs w:val="18"/>
        </w:rPr>
        <w:t xml:space="preserve">ed Rank Test. </w:t>
      </w:r>
      <w:r w:rsidR="007C4CA7" w:rsidRPr="00570BA4">
        <w:rPr>
          <w:color w:val="000000" w:themeColor="text1"/>
          <w:sz w:val="18"/>
          <w:szCs w:val="18"/>
          <w:lang w:val="id-ID"/>
        </w:rPr>
        <w:t xml:space="preserve">The results show </w:t>
      </w:r>
      <w:r w:rsidR="00570BA4" w:rsidRPr="00570BA4">
        <w:rPr>
          <w:color w:val="000000" w:themeColor="text1"/>
          <w:sz w:val="18"/>
          <w:szCs w:val="18"/>
        </w:rPr>
        <w:t xml:space="preserve">an increase in the </w:t>
      </w:r>
      <w:r w:rsidR="00F219CC" w:rsidRPr="00570BA4">
        <w:rPr>
          <w:color w:val="000000" w:themeColor="text1"/>
          <w:sz w:val="18"/>
          <w:szCs w:val="18"/>
        </w:rPr>
        <w:t>leverage ratio</w:t>
      </w:r>
      <w:r w:rsidR="00570BA4" w:rsidRPr="00570BA4">
        <w:rPr>
          <w:color w:val="000000" w:themeColor="text1"/>
          <w:sz w:val="18"/>
          <w:szCs w:val="18"/>
        </w:rPr>
        <w:t xml:space="preserve"> </w:t>
      </w:r>
      <w:r w:rsidR="0077184F" w:rsidRPr="00570BA4">
        <w:rPr>
          <w:color w:val="000000" w:themeColor="text1"/>
          <w:sz w:val="18"/>
          <w:szCs w:val="18"/>
        </w:rPr>
        <w:t xml:space="preserve">and </w:t>
      </w:r>
      <w:r w:rsidR="00F219CC" w:rsidRPr="00570BA4">
        <w:rPr>
          <w:color w:val="000000" w:themeColor="text1"/>
          <w:sz w:val="18"/>
          <w:szCs w:val="18"/>
        </w:rPr>
        <w:t>short-term activity ratio</w:t>
      </w:r>
      <w:r w:rsidR="007C4CA7" w:rsidRPr="00570BA4">
        <w:rPr>
          <w:color w:val="000000" w:themeColor="text1"/>
          <w:sz w:val="18"/>
          <w:szCs w:val="18"/>
        </w:rPr>
        <w:t xml:space="preserve"> but</w:t>
      </w:r>
      <w:r w:rsidR="0077184F" w:rsidRPr="00570BA4">
        <w:rPr>
          <w:color w:val="000000" w:themeColor="text1"/>
          <w:sz w:val="18"/>
          <w:szCs w:val="18"/>
        </w:rPr>
        <w:t xml:space="preserve"> a decrease in </w:t>
      </w:r>
      <w:r w:rsidR="00570BA4" w:rsidRPr="00570BA4">
        <w:rPr>
          <w:color w:val="000000" w:themeColor="text1"/>
          <w:sz w:val="18"/>
          <w:szCs w:val="18"/>
        </w:rPr>
        <w:t>the public companies' liquidity ratio</w:t>
      </w:r>
      <w:r w:rsidR="0077184F" w:rsidRPr="00570BA4">
        <w:rPr>
          <w:color w:val="000000" w:themeColor="text1"/>
          <w:sz w:val="18"/>
          <w:szCs w:val="18"/>
        </w:rPr>
        <w:t xml:space="preserve"> and </w:t>
      </w:r>
      <w:r w:rsidR="00F219CC" w:rsidRPr="00570BA4">
        <w:rPr>
          <w:color w:val="000000" w:themeColor="text1"/>
          <w:sz w:val="18"/>
          <w:szCs w:val="18"/>
        </w:rPr>
        <w:t xml:space="preserve">profitability ratio </w:t>
      </w:r>
      <w:r w:rsidR="0077184F" w:rsidRPr="00570BA4">
        <w:rPr>
          <w:color w:val="000000" w:themeColor="text1"/>
          <w:sz w:val="18"/>
          <w:szCs w:val="18"/>
        </w:rPr>
        <w:t>dur</w:t>
      </w:r>
      <w:r w:rsidR="007C4CA7" w:rsidRPr="00570BA4">
        <w:rPr>
          <w:color w:val="000000" w:themeColor="text1"/>
          <w:sz w:val="18"/>
          <w:szCs w:val="18"/>
        </w:rPr>
        <w:t>ing the COVID-19 pandemic</w:t>
      </w:r>
      <w:r w:rsidR="007C4CA7" w:rsidRPr="00570BA4">
        <w:rPr>
          <w:color w:val="000000" w:themeColor="text1"/>
          <w:sz w:val="18"/>
          <w:szCs w:val="18"/>
          <w:lang w:val="id-ID"/>
        </w:rPr>
        <w:t>. There</w:t>
      </w:r>
      <w:r w:rsidR="005F20BA" w:rsidRPr="00570BA4">
        <w:rPr>
          <w:color w:val="000000" w:themeColor="text1"/>
          <w:sz w:val="18"/>
          <w:szCs w:val="18"/>
        </w:rPr>
        <w:t xml:space="preserve"> </w:t>
      </w:r>
      <w:r w:rsidR="005F20BA" w:rsidRPr="00570BA4">
        <w:rPr>
          <w:color w:val="000000" w:themeColor="text1"/>
          <w:sz w:val="18"/>
          <w:szCs w:val="18"/>
          <w:lang w:val="id-ID"/>
        </w:rPr>
        <w:t>was</w:t>
      </w:r>
      <w:r w:rsidR="0077184F" w:rsidRPr="00570BA4">
        <w:rPr>
          <w:color w:val="000000" w:themeColor="text1"/>
          <w:sz w:val="18"/>
          <w:szCs w:val="18"/>
        </w:rPr>
        <w:t xml:space="preserve"> no significant difference in </w:t>
      </w:r>
      <w:r w:rsidR="00570BA4" w:rsidRPr="00570BA4">
        <w:rPr>
          <w:color w:val="000000" w:themeColor="text1"/>
          <w:sz w:val="18"/>
          <w:szCs w:val="18"/>
        </w:rPr>
        <w:t>the</w:t>
      </w:r>
      <w:r w:rsidR="0077184F" w:rsidRPr="00570BA4">
        <w:rPr>
          <w:color w:val="000000" w:themeColor="text1"/>
          <w:sz w:val="18"/>
          <w:szCs w:val="18"/>
        </w:rPr>
        <w:t xml:space="preserve"> </w:t>
      </w:r>
      <w:r w:rsidR="00570BA4" w:rsidRPr="00570BA4">
        <w:rPr>
          <w:color w:val="000000" w:themeColor="text1"/>
          <w:sz w:val="18"/>
          <w:szCs w:val="18"/>
        </w:rPr>
        <w:t xml:space="preserve">liquidity </w:t>
      </w:r>
      <w:r w:rsidR="005F20BA" w:rsidRPr="00570BA4">
        <w:rPr>
          <w:color w:val="000000" w:themeColor="text1"/>
          <w:sz w:val="18"/>
          <w:szCs w:val="18"/>
        </w:rPr>
        <w:t xml:space="preserve">ratio and </w:t>
      </w:r>
      <w:r w:rsidR="00570BA4" w:rsidRPr="00570BA4">
        <w:rPr>
          <w:color w:val="000000" w:themeColor="text1"/>
          <w:sz w:val="18"/>
          <w:szCs w:val="18"/>
        </w:rPr>
        <w:t>leverage</w:t>
      </w:r>
      <w:r w:rsidR="00F219CC" w:rsidRPr="00570BA4">
        <w:rPr>
          <w:color w:val="000000" w:themeColor="text1"/>
          <w:sz w:val="18"/>
          <w:szCs w:val="18"/>
        </w:rPr>
        <w:t xml:space="preserve"> ratio</w:t>
      </w:r>
      <w:r w:rsidR="0077184F" w:rsidRPr="00570BA4">
        <w:rPr>
          <w:color w:val="000000" w:themeColor="text1"/>
          <w:sz w:val="18"/>
          <w:szCs w:val="18"/>
        </w:rPr>
        <w:t xml:space="preserve">. However, the public companies' </w:t>
      </w:r>
      <w:r w:rsidR="00570BA4" w:rsidRPr="00570BA4">
        <w:rPr>
          <w:color w:val="000000" w:themeColor="text1"/>
          <w:sz w:val="18"/>
          <w:szCs w:val="18"/>
        </w:rPr>
        <w:t>profitability ratio</w:t>
      </w:r>
      <w:r w:rsidR="0077184F" w:rsidRPr="00570BA4">
        <w:rPr>
          <w:color w:val="000000" w:themeColor="text1"/>
          <w:sz w:val="18"/>
          <w:szCs w:val="18"/>
        </w:rPr>
        <w:t xml:space="preserve"> and </w:t>
      </w:r>
      <w:r w:rsidR="00570BA4" w:rsidRPr="00570BA4">
        <w:rPr>
          <w:color w:val="000000" w:themeColor="text1"/>
          <w:sz w:val="18"/>
          <w:szCs w:val="18"/>
        </w:rPr>
        <w:t>short-term activity ratio</w:t>
      </w:r>
      <w:r w:rsidR="0077184F" w:rsidRPr="00570BA4">
        <w:rPr>
          <w:color w:val="000000" w:themeColor="text1"/>
          <w:sz w:val="18"/>
          <w:szCs w:val="18"/>
        </w:rPr>
        <w:t xml:space="preserve"> differed significantly between before and during the COVID-19 pandemic</w:t>
      </w:r>
      <w:r w:rsidR="007C4CA7" w:rsidRPr="00570BA4">
        <w:rPr>
          <w:color w:val="000000" w:themeColor="text1"/>
          <w:sz w:val="18"/>
          <w:szCs w:val="18"/>
          <w:lang w:val="id-ID"/>
        </w:rPr>
        <w:t>.</w:t>
      </w:r>
      <w:r w:rsidR="007C4CA7" w:rsidRPr="00570BA4">
        <w:rPr>
          <w:color w:val="000000" w:themeColor="text1"/>
          <w:sz w:val="18"/>
          <w:szCs w:val="18"/>
        </w:rPr>
        <w:t xml:space="preserve"> </w:t>
      </w:r>
      <w:r w:rsidR="007C4CA7" w:rsidRPr="00570BA4">
        <w:rPr>
          <w:color w:val="000000" w:themeColor="text1"/>
          <w:sz w:val="18"/>
          <w:szCs w:val="18"/>
          <w:lang w:val="id-ID"/>
        </w:rPr>
        <w:t>The</w:t>
      </w:r>
      <w:r w:rsidR="005F20BA" w:rsidRPr="00570BA4">
        <w:rPr>
          <w:color w:val="000000" w:themeColor="text1"/>
          <w:sz w:val="18"/>
          <w:szCs w:val="18"/>
        </w:rPr>
        <w:t xml:space="preserve"> sector that </w:t>
      </w:r>
      <w:r w:rsidR="005F20BA" w:rsidRPr="00570BA4">
        <w:rPr>
          <w:color w:val="000000" w:themeColor="text1"/>
          <w:sz w:val="18"/>
          <w:szCs w:val="18"/>
          <w:lang w:val="id-ID"/>
        </w:rPr>
        <w:t>experienced</w:t>
      </w:r>
      <w:r w:rsidR="0077184F" w:rsidRPr="00570BA4">
        <w:rPr>
          <w:color w:val="000000" w:themeColor="text1"/>
          <w:sz w:val="18"/>
          <w:szCs w:val="18"/>
        </w:rPr>
        <w:t xml:space="preserve"> an increase in </w:t>
      </w:r>
      <w:r w:rsidR="00570BA4" w:rsidRPr="00570BA4">
        <w:rPr>
          <w:color w:val="000000" w:themeColor="text1"/>
          <w:sz w:val="18"/>
          <w:szCs w:val="18"/>
        </w:rPr>
        <w:t>liquidity</w:t>
      </w:r>
      <w:r w:rsidR="0077184F" w:rsidRPr="00570BA4">
        <w:rPr>
          <w:color w:val="000000" w:themeColor="text1"/>
          <w:sz w:val="18"/>
          <w:szCs w:val="18"/>
        </w:rPr>
        <w:t xml:space="preserve"> ratio, </w:t>
      </w:r>
      <w:r w:rsidR="00570BA4" w:rsidRPr="00570BA4">
        <w:rPr>
          <w:color w:val="000000" w:themeColor="text1"/>
          <w:sz w:val="18"/>
          <w:szCs w:val="18"/>
        </w:rPr>
        <w:t>profitability ratio</w:t>
      </w:r>
      <w:r w:rsidR="0077184F" w:rsidRPr="00570BA4">
        <w:rPr>
          <w:color w:val="000000" w:themeColor="text1"/>
          <w:sz w:val="18"/>
          <w:szCs w:val="18"/>
        </w:rPr>
        <w:t xml:space="preserve">, and </w:t>
      </w:r>
      <w:r w:rsidR="00570BA4" w:rsidRPr="00570BA4">
        <w:rPr>
          <w:color w:val="000000" w:themeColor="text1"/>
          <w:sz w:val="18"/>
          <w:szCs w:val="18"/>
        </w:rPr>
        <w:t>short-term activity ratio</w:t>
      </w:r>
      <w:r w:rsidR="0077184F" w:rsidRPr="00570BA4">
        <w:rPr>
          <w:color w:val="000000" w:themeColor="text1"/>
          <w:sz w:val="18"/>
          <w:szCs w:val="18"/>
        </w:rPr>
        <w:t xml:space="preserve"> but a de</w:t>
      </w:r>
      <w:r w:rsidR="005F20BA" w:rsidRPr="00570BA4">
        <w:rPr>
          <w:color w:val="000000" w:themeColor="text1"/>
          <w:sz w:val="18"/>
          <w:szCs w:val="18"/>
        </w:rPr>
        <w:t xml:space="preserve">crease in the </w:t>
      </w:r>
      <w:r w:rsidR="00570BA4" w:rsidRPr="00570BA4">
        <w:rPr>
          <w:color w:val="000000" w:themeColor="text1"/>
          <w:sz w:val="18"/>
          <w:szCs w:val="18"/>
        </w:rPr>
        <w:t>leverage ratio</w:t>
      </w:r>
      <w:r w:rsidR="005F20BA" w:rsidRPr="00570BA4">
        <w:rPr>
          <w:color w:val="000000" w:themeColor="text1"/>
          <w:sz w:val="18"/>
          <w:szCs w:val="18"/>
        </w:rPr>
        <w:t xml:space="preserve"> </w:t>
      </w:r>
      <w:r w:rsidR="005F20BA" w:rsidRPr="00570BA4">
        <w:rPr>
          <w:color w:val="000000" w:themeColor="text1"/>
          <w:sz w:val="18"/>
          <w:szCs w:val="18"/>
          <w:lang w:val="id-ID"/>
        </w:rPr>
        <w:t>was</w:t>
      </w:r>
      <w:r w:rsidR="00570BA4" w:rsidRPr="00570BA4">
        <w:rPr>
          <w:color w:val="000000" w:themeColor="text1"/>
          <w:sz w:val="18"/>
          <w:szCs w:val="18"/>
        </w:rPr>
        <w:t xml:space="preserve"> the consumer g</w:t>
      </w:r>
      <w:r w:rsidR="0077184F" w:rsidRPr="00570BA4">
        <w:rPr>
          <w:color w:val="000000" w:themeColor="text1"/>
          <w:sz w:val="18"/>
          <w:szCs w:val="18"/>
        </w:rPr>
        <w:t>oods sector</w:t>
      </w:r>
      <w:r w:rsidR="005F20BA" w:rsidRPr="00570BA4">
        <w:rPr>
          <w:color w:val="000000" w:themeColor="text1"/>
          <w:sz w:val="18"/>
          <w:szCs w:val="18"/>
        </w:rPr>
        <w:t xml:space="preserve">. In contrast, the sectors </w:t>
      </w:r>
      <w:r w:rsidR="005F20BA" w:rsidRPr="00570BA4">
        <w:rPr>
          <w:color w:val="000000" w:themeColor="text1"/>
          <w:sz w:val="18"/>
          <w:szCs w:val="18"/>
          <w:lang w:val="id-ID"/>
        </w:rPr>
        <w:t>experienc</w:t>
      </w:r>
      <w:r w:rsidR="0077184F" w:rsidRPr="00570BA4">
        <w:rPr>
          <w:color w:val="000000" w:themeColor="text1"/>
          <w:sz w:val="18"/>
          <w:szCs w:val="18"/>
        </w:rPr>
        <w:t xml:space="preserve">ing a decrease in the </w:t>
      </w:r>
      <w:r w:rsidR="00570BA4" w:rsidRPr="00570BA4">
        <w:rPr>
          <w:color w:val="000000" w:themeColor="text1"/>
          <w:sz w:val="18"/>
          <w:szCs w:val="18"/>
        </w:rPr>
        <w:t>liquidity and profitability ratio</w:t>
      </w:r>
      <w:r w:rsidR="005F20BA" w:rsidRPr="00570BA4">
        <w:rPr>
          <w:color w:val="000000" w:themeColor="text1"/>
          <w:sz w:val="18"/>
          <w:szCs w:val="18"/>
        </w:rPr>
        <w:t xml:space="preserve">s </w:t>
      </w:r>
      <w:r w:rsidR="005F20BA" w:rsidRPr="00570BA4">
        <w:rPr>
          <w:color w:val="000000" w:themeColor="text1"/>
          <w:sz w:val="18"/>
          <w:szCs w:val="18"/>
          <w:lang w:val="id-ID"/>
        </w:rPr>
        <w:t>were</w:t>
      </w:r>
      <w:r w:rsidR="0077184F" w:rsidRPr="00570BA4">
        <w:rPr>
          <w:color w:val="000000" w:themeColor="text1"/>
          <w:sz w:val="18"/>
          <w:szCs w:val="18"/>
        </w:rPr>
        <w:t xml:space="preserve"> property, real estate and building construction, finance, trade, services, and investment</w:t>
      </w:r>
      <w:r w:rsidR="00570BA4" w:rsidRPr="00570BA4">
        <w:rPr>
          <w:color w:val="000000" w:themeColor="text1"/>
          <w:sz w:val="18"/>
          <w:szCs w:val="18"/>
        </w:rPr>
        <w:t xml:space="preserve"> sectors</w:t>
      </w:r>
      <w:r w:rsidR="007C4CA7" w:rsidRPr="00570BA4">
        <w:rPr>
          <w:color w:val="000000" w:themeColor="text1"/>
          <w:sz w:val="18"/>
          <w:szCs w:val="18"/>
          <w:lang w:val="id-ID"/>
        </w:rPr>
        <w:t>.</w:t>
      </w:r>
    </w:p>
    <w:p w:rsidR="007C4CA7" w:rsidRPr="00570BA4" w:rsidRDefault="007C4CA7" w:rsidP="00C72E83">
      <w:pPr>
        <w:pStyle w:val="Ventura-AuthorAddress"/>
        <w:rPr>
          <w:color w:val="000000" w:themeColor="text1"/>
          <w:sz w:val="18"/>
          <w:szCs w:val="18"/>
          <w:lang w:val="id-ID"/>
        </w:rPr>
      </w:pPr>
    </w:p>
    <w:p w:rsidR="00C72E83" w:rsidRPr="00570BA4" w:rsidRDefault="00E90A84" w:rsidP="00C72E83">
      <w:pPr>
        <w:pStyle w:val="Ventura-AuthorAddress"/>
        <w:rPr>
          <w:b/>
          <w:color w:val="000000" w:themeColor="text1"/>
          <w:sz w:val="18"/>
          <w:szCs w:val="18"/>
        </w:rPr>
      </w:pPr>
      <w:r w:rsidRPr="00570BA4">
        <w:rPr>
          <w:b/>
          <w:color w:val="000000" w:themeColor="text1"/>
          <w:sz w:val="18"/>
          <w:szCs w:val="18"/>
        </w:rPr>
        <w:t>Keywords:</w:t>
      </w:r>
    </w:p>
    <w:p w:rsidR="00C72E83" w:rsidRPr="00570BA4" w:rsidRDefault="00E90A84" w:rsidP="00C72E83">
      <w:pPr>
        <w:pStyle w:val="Ventura-AuthorAddress"/>
        <w:rPr>
          <w:color w:val="000000" w:themeColor="text1"/>
          <w:sz w:val="18"/>
          <w:szCs w:val="18"/>
        </w:rPr>
      </w:pPr>
      <w:r w:rsidRPr="00570BA4">
        <w:rPr>
          <w:color w:val="000000" w:themeColor="text1"/>
          <w:sz w:val="18"/>
          <w:szCs w:val="18"/>
        </w:rPr>
        <w:t>Current Ratio, DER, ROA, Receivable Turnover</w:t>
      </w:r>
    </w:p>
    <w:p w:rsidR="00C72E83" w:rsidRPr="00570BA4" w:rsidRDefault="00C72E83" w:rsidP="00C72E83">
      <w:pPr>
        <w:pStyle w:val="Ventura-AuthorAddress"/>
        <w:rPr>
          <w:color w:val="000000" w:themeColor="text1"/>
          <w:szCs w:val="18"/>
        </w:rPr>
      </w:pPr>
    </w:p>
    <w:p w:rsidR="00982C26" w:rsidRPr="00570BA4" w:rsidRDefault="00982C26" w:rsidP="00982C26">
      <w:pPr>
        <w:pStyle w:val="Ventura-AuthorAddress"/>
        <w:rPr>
          <w:rFonts w:ascii="Book Antiqua" w:hAnsi="Book Antiqua"/>
          <w:color w:val="000000" w:themeColor="text1"/>
          <w:sz w:val="18"/>
          <w:szCs w:val="18"/>
        </w:rPr>
      </w:pPr>
    </w:p>
    <w:p w:rsidR="00982C26" w:rsidRPr="00570BA4" w:rsidRDefault="00E90A84" w:rsidP="00982C26">
      <w:pPr>
        <w:pStyle w:val="Ventura-AbstractTitle"/>
        <w:rPr>
          <w:color w:val="000000" w:themeColor="text1"/>
        </w:rPr>
      </w:pPr>
      <w:r w:rsidRPr="00570BA4">
        <w:rPr>
          <w:color w:val="000000" w:themeColor="text1"/>
        </w:rPr>
        <w:t>ABSTRAK</w:t>
      </w:r>
    </w:p>
    <w:p w:rsidR="00982C26" w:rsidRPr="00570BA4" w:rsidRDefault="00E90A84" w:rsidP="00982C26">
      <w:pPr>
        <w:pStyle w:val="Ventura-AuthorAddress"/>
        <w:rPr>
          <w:rFonts w:ascii="Book Antiqua" w:hAnsi="Book Antiqua"/>
          <w:color w:val="000000" w:themeColor="text1"/>
          <w:sz w:val="18"/>
          <w:szCs w:val="18"/>
          <w:lang w:eastAsia="id-ID"/>
        </w:rPr>
      </w:pPr>
      <w:r w:rsidRPr="00570BA4">
        <w:rPr>
          <w:rStyle w:val="tlid-translation"/>
          <w:rFonts w:ascii="Book Antiqua" w:hAnsi="Book Antiqua"/>
          <w:color w:val="000000" w:themeColor="text1"/>
          <w:sz w:val="18"/>
          <w:szCs w:val="18"/>
        </w:rPr>
        <w:t>Pandemi COVID 19 berdampak negatif t</w:t>
      </w:r>
      <w:r w:rsidR="00A043E3" w:rsidRPr="00570BA4">
        <w:rPr>
          <w:rStyle w:val="tlid-translation"/>
          <w:rFonts w:ascii="Book Antiqua" w:hAnsi="Book Antiqua"/>
          <w:color w:val="000000" w:themeColor="text1"/>
          <w:sz w:val="18"/>
          <w:szCs w:val="18"/>
        </w:rPr>
        <w:t>erhadap ekonomi nasional dan me</w:t>
      </w:r>
      <w:r w:rsidRPr="00570BA4">
        <w:rPr>
          <w:rStyle w:val="tlid-translation"/>
          <w:rFonts w:ascii="Book Antiqua" w:hAnsi="Book Antiqua"/>
          <w:color w:val="000000" w:themeColor="text1"/>
          <w:sz w:val="18"/>
          <w:szCs w:val="18"/>
        </w:rPr>
        <w:t xml:space="preserve">nyebabkan penurunan kinerja keuangan berbagai jenis usaha. </w:t>
      </w:r>
      <w:r w:rsidR="00DC5BDE" w:rsidRPr="00570BA4">
        <w:rPr>
          <w:rStyle w:val="tlid-translation"/>
          <w:rFonts w:ascii="Book Antiqua" w:hAnsi="Book Antiqua"/>
          <w:color w:val="000000" w:themeColor="text1"/>
          <w:sz w:val="18"/>
          <w:szCs w:val="18"/>
        </w:rPr>
        <w:t xml:space="preserve">Penelitian ini bertujuan untuk mengkaji dampak pandemi COVID-19 pada kinerja </w:t>
      </w:r>
      <w:r w:rsidR="00CC1169" w:rsidRPr="00570BA4">
        <w:rPr>
          <w:rStyle w:val="tlid-translation"/>
          <w:rFonts w:ascii="Book Antiqua" w:hAnsi="Book Antiqua"/>
          <w:color w:val="000000" w:themeColor="text1"/>
          <w:sz w:val="18"/>
          <w:szCs w:val="18"/>
        </w:rPr>
        <w:t xml:space="preserve">keuangan </w:t>
      </w:r>
      <w:r w:rsidR="00DC5BDE" w:rsidRPr="00570BA4">
        <w:rPr>
          <w:rStyle w:val="tlid-translation"/>
          <w:rFonts w:ascii="Book Antiqua" w:hAnsi="Book Antiqua"/>
          <w:color w:val="000000" w:themeColor="text1"/>
          <w:sz w:val="18"/>
          <w:szCs w:val="18"/>
        </w:rPr>
        <w:t>perusahaan yang tercatat di Bursa Efek Indonesia</w:t>
      </w:r>
      <w:r w:rsidRPr="00570BA4">
        <w:rPr>
          <w:rStyle w:val="tlid-translation"/>
          <w:rFonts w:ascii="Book Antiqua" w:hAnsi="Book Antiqua"/>
          <w:color w:val="000000" w:themeColor="text1"/>
          <w:sz w:val="18"/>
          <w:szCs w:val="18"/>
        </w:rPr>
        <w:t xml:space="preserve">. Sampel penilitian mencakup 214 perus-ahaan yang terbagi secara proporsional kedalam sembilan sektor atau 49 subsektor. Analisis data menggunakan Wilcoxon Signed Rank Test. </w:t>
      </w:r>
      <w:r w:rsidR="00570BA4" w:rsidRPr="00570BA4">
        <w:rPr>
          <w:rStyle w:val="jlqj4b"/>
          <w:rFonts w:ascii="Book Antiqua" w:hAnsi="Book Antiqua"/>
          <w:color w:val="000000" w:themeColor="text1"/>
          <w:sz w:val="18"/>
          <w:szCs w:val="18"/>
          <w:lang w:val="id-ID"/>
        </w:rPr>
        <w:t>Hasil penelitian menunjukkan bahwa terjadi peningkatan rasio leverage dan rasio aktivitas jangka pendek, namun terjadi penurunan rasio likuiditas dan rasio profitabilitas perusahaan publik selama pandemi COVID-19.</w:t>
      </w:r>
      <w:r w:rsidR="00570BA4" w:rsidRPr="00570BA4">
        <w:rPr>
          <w:rStyle w:val="viiyi"/>
          <w:rFonts w:ascii="Book Antiqua" w:hAnsi="Book Antiqua"/>
          <w:color w:val="000000" w:themeColor="text1"/>
          <w:sz w:val="18"/>
          <w:szCs w:val="18"/>
          <w:lang w:val="id-ID"/>
        </w:rPr>
        <w:t xml:space="preserve"> </w:t>
      </w:r>
      <w:r w:rsidR="00570BA4" w:rsidRPr="00570BA4">
        <w:rPr>
          <w:rStyle w:val="jlqj4b"/>
          <w:rFonts w:ascii="Book Antiqua" w:hAnsi="Book Antiqua"/>
          <w:color w:val="000000" w:themeColor="text1"/>
          <w:sz w:val="18"/>
          <w:szCs w:val="18"/>
          <w:lang w:val="id-ID"/>
        </w:rPr>
        <w:t>Tidak terdapat perbedaan yang signifikan pada rasio likuiditas dan rasio leverage, namun terdapat perbedaan yang signifikan pada rasio profitabilitas dan rasio aktivitas jangka pendek pada perusahaan publik antara sebelum dan selama pandemi COVID-19.</w:t>
      </w:r>
      <w:r w:rsidR="00570BA4" w:rsidRPr="00570BA4">
        <w:rPr>
          <w:rStyle w:val="viiyi"/>
          <w:rFonts w:ascii="Book Antiqua" w:hAnsi="Book Antiqua"/>
          <w:color w:val="000000" w:themeColor="text1"/>
          <w:sz w:val="18"/>
          <w:szCs w:val="18"/>
          <w:lang w:val="id-ID"/>
        </w:rPr>
        <w:t xml:space="preserve"> </w:t>
      </w:r>
      <w:r w:rsidR="00570BA4" w:rsidRPr="00570BA4">
        <w:rPr>
          <w:rStyle w:val="jlqj4b"/>
          <w:rFonts w:ascii="Book Antiqua" w:hAnsi="Book Antiqua"/>
          <w:color w:val="000000" w:themeColor="text1"/>
          <w:sz w:val="18"/>
          <w:szCs w:val="18"/>
          <w:lang w:val="id-ID"/>
        </w:rPr>
        <w:t>Sektor yang mengalami peningkatan rasio likuiditas, rasio profitabilitas, dan rasio aktivitas jangka pendek namun penurunan rasio leverage adalah sektor barang konsumsi, sedangkan sektor yang mengalami penurunan rasio likuiditas dan rasio profitabilitas adalah sektor properti, riil.</w:t>
      </w:r>
      <w:r w:rsidR="00570BA4" w:rsidRPr="00570BA4">
        <w:rPr>
          <w:rStyle w:val="viiyi"/>
          <w:rFonts w:ascii="Book Antiqua" w:hAnsi="Book Antiqua"/>
          <w:color w:val="000000" w:themeColor="text1"/>
          <w:sz w:val="18"/>
          <w:szCs w:val="18"/>
          <w:lang w:val="id-ID"/>
        </w:rPr>
        <w:t xml:space="preserve"> </w:t>
      </w:r>
      <w:r w:rsidR="00570BA4" w:rsidRPr="00570BA4">
        <w:rPr>
          <w:rStyle w:val="jlqj4b"/>
          <w:rFonts w:ascii="Book Antiqua" w:hAnsi="Book Antiqua"/>
          <w:color w:val="000000" w:themeColor="text1"/>
          <w:sz w:val="18"/>
          <w:szCs w:val="18"/>
          <w:lang w:val="id-ID"/>
        </w:rPr>
        <w:t>perkebunan dan konstruksi bangunan, keuangan, perdagangan, jasa, dan investasi.</w:t>
      </w:r>
    </w:p>
    <w:p w:rsidR="00982C26" w:rsidRPr="00570BA4" w:rsidRDefault="00982C26" w:rsidP="005E10ED">
      <w:pPr>
        <w:pStyle w:val="Ventura-Abstract"/>
        <w:rPr>
          <w:color w:val="000000" w:themeColor="text1"/>
          <w:szCs w:val="18"/>
        </w:rPr>
        <w:sectPr w:rsidR="00982C26" w:rsidRPr="00570BA4" w:rsidSect="004C102F">
          <w:headerReference w:type="even" r:id="rId8"/>
          <w:headerReference w:type="default" r:id="rId9"/>
          <w:footerReference w:type="even" r:id="rId10"/>
          <w:footerReference w:type="default" r:id="rId11"/>
          <w:headerReference w:type="first" r:id="rId12"/>
          <w:footerReference w:type="first" r:id="rId13"/>
          <w:pgSz w:w="11907" w:h="16840" w:code="9"/>
          <w:pgMar w:top="1701" w:right="1247" w:bottom="1531" w:left="1134" w:header="1021" w:footer="1077" w:gutter="0"/>
          <w:pgNumType w:start="1"/>
          <w:cols w:space="720"/>
          <w:docGrid w:linePitch="360"/>
        </w:sectPr>
      </w:pPr>
    </w:p>
    <w:p w:rsidR="00A95189" w:rsidRPr="00256EEC" w:rsidRDefault="00A95189" w:rsidP="005E10ED">
      <w:pPr>
        <w:pStyle w:val="Ventura-Content"/>
        <w:ind w:firstLine="0"/>
      </w:pPr>
    </w:p>
    <w:p w:rsidR="00A95189" w:rsidRPr="00256EEC" w:rsidRDefault="00A95189" w:rsidP="005E10ED">
      <w:pPr>
        <w:pStyle w:val="Ventura-Content"/>
        <w:sectPr w:rsidR="00A95189" w:rsidRPr="00256EEC" w:rsidSect="00982C26">
          <w:type w:val="continuous"/>
          <w:pgSz w:w="11907" w:h="16840" w:code="9"/>
          <w:pgMar w:top="1701" w:right="1247" w:bottom="1531" w:left="1134" w:header="1021" w:footer="1077" w:gutter="0"/>
          <w:pgNumType w:start="1"/>
          <w:cols w:space="720"/>
          <w:docGrid w:linePitch="360"/>
        </w:sectPr>
      </w:pPr>
    </w:p>
    <w:p w:rsidR="00891382" w:rsidRPr="00256EEC" w:rsidRDefault="00E90A84" w:rsidP="005E10ED">
      <w:pPr>
        <w:pStyle w:val="Ventura-Heading1"/>
      </w:pPr>
      <w:r w:rsidRPr="00256EEC">
        <w:rPr>
          <w:noProof/>
        </w:rPr>
        <w:lastRenderedPageBreak/>
        <mc:AlternateContent>
          <mc:Choice Requires="wps">
            <w:drawing>
              <wp:anchor distT="107950" distB="0" distL="114300" distR="114300" simplePos="0" relativeHeight="251658240" behindDoc="0" locked="0" layoutInCell="1" allowOverlap="1">
                <wp:simplePos x="0" y="0"/>
                <wp:positionH relativeFrom="column">
                  <wp:posOffset>13335</wp:posOffset>
                </wp:positionH>
                <wp:positionV relativeFrom="page">
                  <wp:posOffset>9545955</wp:posOffset>
                </wp:positionV>
                <wp:extent cx="6047740" cy="171450"/>
                <wp:effectExtent l="0" t="0" r="10160" b="0"/>
                <wp:wrapTopAndBottom/>
                <wp:docPr id="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3B3" w:rsidRPr="0086358E" w:rsidRDefault="00E90A84" w:rsidP="00476184">
                            <w:pPr>
                              <w:pStyle w:val="Ventura-Keyword"/>
                            </w:pPr>
                            <w:r w:rsidRPr="00E03BC6">
                              <w:t>* Corresponding author, email address</w:t>
                            </w:r>
                            <w:r>
                              <w:t>:</w:t>
                            </w:r>
                            <w:r>
                              <w:rPr>
                                <w:lang w:val="id-ID"/>
                              </w:rPr>
                              <w:t xml:space="preserve"> </w:t>
                            </w:r>
                            <w:hyperlink r:id="rId14" w:history="1">
                              <w:r w:rsidRPr="00AE3193">
                                <w:rPr>
                                  <w:rStyle w:val="Hyperlink"/>
                                </w:rPr>
                                <w:t>sunitha.devi@undiksha.ac.id</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2" o:spid="_x0000_s1026" type="#_x0000_t202" style="position:absolute;left:0;text-align:left;margin-left:1.05pt;margin-top:751.65pt;width:476.2pt;height:13.5pt;z-index:251658240;visibility:visible;mso-wrap-style:square;mso-width-percent:0;mso-height-percent:0;mso-wrap-distance-left:9pt;mso-wrap-distance-top:8.5pt;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" filled="f" stroked="f">
                <v:textbox inset="0,0,0,0">
                  <w:txbxContent>
                    <w:p w:rsidR="00D943B3" w:rsidRPr="0086358E" w:rsidRDefault="00E90A84" w:rsidP="00476184">
                      <w:pPr>
                        <w:pStyle w:val="Ventura-Keyword"/>
                      </w:pPr>
                      <w:r w:rsidRPr="00E03BC6">
                        <w:t>* Corresponding author, email address</w:t>
                      </w:r>
                      <w:r>
                        <w:t>:</w:t>
                      </w:r>
                      <w:r>
                        <w:rPr>
                          <w:lang w:val="id-ID"/>
                        </w:rPr>
                        <w:t xml:space="preserve"> </w:t>
                      </w:r>
                      <w:hyperlink r:id="rId15" w:history="1">
                        <w:r w:rsidRPr="00AE3193">
                          <w:rPr>
                            <w:rStyle w:val="Hyperlink"/>
                          </w:rPr>
                          <w:t>sunitha.devi@undiksha.ac.id</w:t>
                        </w:r>
                      </w:hyperlink>
                    </w:p>
                  </w:txbxContent>
                </v:textbox>
                <w10:wrap type="topAndBottom" anchory="page"/>
              </v:shape>
            </w:pict>
          </mc:Fallback>
        </mc:AlternateContent>
      </w:r>
      <w:r w:rsidR="00E03BC6" w:rsidRPr="00256EEC">
        <w:t xml:space="preserve">1. </w:t>
      </w:r>
      <w:r w:rsidR="00DC3CC2" w:rsidRPr="00256EEC">
        <w:t>Introduction</w:t>
      </w:r>
    </w:p>
    <w:p w:rsidR="00256EEC" w:rsidRDefault="00E90A84" w:rsidP="00256EEC">
      <w:pPr>
        <w:pStyle w:val="Ventura-Content"/>
        <w:ind w:firstLine="0"/>
        <w:rPr>
          <w:color w:val="000000"/>
          <w:szCs w:val="20"/>
          <w:lang w:val="id-ID"/>
        </w:rPr>
      </w:pPr>
      <w:r>
        <w:rPr>
          <w:color w:val="000000"/>
          <w:szCs w:val="20"/>
        </w:rPr>
        <w:t>The COVID</w:t>
      </w:r>
      <w:r>
        <w:rPr>
          <w:color w:val="000000"/>
          <w:szCs w:val="20"/>
          <w:lang w:val="id-ID"/>
        </w:rPr>
        <w:t>-</w:t>
      </w:r>
      <w:r w:rsidR="00531A04" w:rsidRPr="00256EEC">
        <w:rPr>
          <w:color w:val="000000"/>
          <w:szCs w:val="20"/>
        </w:rPr>
        <w:t>19 pandemic has a profound impact on the e</w:t>
      </w:r>
      <w:bookmarkStart w:id="2" w:name="_GoBack"/>
      <w:bookmarkEnd w:id="2"/>
      <w:r w:rsidR="00531A04" w:rsidRPr="00256EEC">
        <w:rPr>
          <w:color w:val="000000"/>
          <w:szCs w:val="20"/>
        </w:rPr>
        <w:t xml:space="preserve">conomy, not only in Indonesia but also throughout the world. </w:t>
      </w:r>
      <w:r>
        <w:rPr>
          <w:color w:val="000000"/>
          <w:szCs w:val="20"/>
        </w:rPr>
        <w:t>One of the impacts of the COVID</w:t>
      </w:r>
      <w:r>
        <w:rPr>
          <w:color w:val="000000"/>
          <w:szCs w:val="20"/>
          <w:lang w:val="id-ID"/>
        </w:rPr>
        <w:t>-</w:t>
      </w:r>
      <w:r w:rsidR="00531A04" w:rsidRPr="00256EEC">
        <w:rPr>
          <w:color w:val="000000"/>
          <w:szCs w:val="20"/>
        </w:rPr>
        <w:t xml:space="preserve">19 pandemic on Indonesia's economy is the decrease in the tax </w:t>
      </w:r>
      <w:r w:rsidR="00531A04" w:rsidRPr="00256EEC">
        <w:rPr>
          <w:color w:val="000000"/>
          <w:szCs w:val="20"/>
        </w:rPr>
        <w:lastRenderedPageBreak/>
        <w:t>revenue budget, the largest source of state revenue, from 1,865.7 trillion to 1,462.6 trillion (Ministry of Finance, 2020). Tax revenue is the primary source of state revenue, or 84.4% (1,332.06 trillion) in 2019 (Ministry of Finance, 2020). The decrease in the 2020 target of state revenue originating fro</w:t>
      </w:r>
      <w:r>
        <w:rPr>
          <w:color w:val="000000"/>
          <w:szCs w:val="20"/>
        </w:rPr>
        <w:t>m t</w:t>
      </w:r>
      <w:r w:rsidR="00531A04" w:rsidRPr="00256EEC">
        <w:rPr>
          <w:color w:val="000000"/>
          <w:szCs w:val="20"/>
        </w:rPr>
        <w:t>he provision of tax incentives for taxpayers and business actors as regulated in the Minister of Finance Regulation No. 44 PMK 03/2020 concerning Tax Incentives for Taxpayers Affected by the Corona Virus Disease 2019 (COVID-19) Pandemic which was issued on April 27, 2020. The government has analyzed that the e</w:t>
      </w:r>
      <w:r>
        <w:rPr>
          <w:color w:val="000000"/>
          <w:szCs w:val="20"/>
        </w:rPr>
        <w:t>conomic crisis due to the COVID</w:t>
      </w:r>
      <w:r>
        <w:rPr>
          <w:color w:val="000000"/>
          <w:szCs w:val="20"/>
          <w:lang w:val="id-ID"/>
        </w:rPr>
        <w:t>-</w:t>
      </w:r>
      <w:r w:rsidR="00531A04" w:rsidRPr="00256EEC">
        <w:rPr>
          <w:color w:val="000000"/>
          <w:szCs w:val="20"/>
        </w:rPr>
        <w:t>19 pandemic will undoubtedly impact decreasing profits and financial performance in various business types. Therefore, implementing tax incentives is the government's first step to carry out an economic rescue that touches the most affected sectors, especially the real sector, which absorbs much labor. It is expected that the sector will be able to survive amid the eco</w:t>
      </w:r>
      <w:r>
        <w:rPr>
          <w:color w:val="000000"/>
          <w:szCs w:val="20"/>
        </w:rPr>
        <w:t>nomic crises due to the COVID</w:t>
      </w:r>
      <w:r>
        <w:rPr>
          <w:color w:val="000000"/>
          <w:szCs w:val="20"/>
          <w:lang w:val="id-ID"/>
        </w:rPr>
        <w:t>-</w:t>
      </w:r>
      <w:r w:rsidR="00531A04" w:rsidRPr="00256EEC">
        <w:rPr>
          <w:color w:val="000000"/>
          <w:szCs w:val="20"/>
        </w:rPr>
        <w:t>19 pandemic. Tax incentives are not only given to the MSMEs but also large-scale public companies. The provision of tax incentives is also a rescue effort made by the government so that companies do not terminate working relationship with employees as a result of corporate financial difficulties, such as in Australia during the economic crisis in 2008, which caused an increase in unemployment (Jetter et al., 2020).</w:t>
      </w:r>
    </w:p>
    <w:p w:rsidR="00256EEC" w:rsidRDefault="00E90A84" w:rsidP="00256EEC">
      <w:pPr>
        <w:pStyle w:val="Ventura-Content"/>
        <w:ind w:firstLine="709"/>
        <w:rPr>
          <w:color w:val="000000"/>
          <w:szCs w:val="20"/>
          <w:lang w:val="id-ID"/>
        </w:rPr>
      </w:pPr>
      <w:r w:rsidRPr="00256EEC">
        <w:rPr>
          <w:color w:val="000000"/>
          <w:szCs w:val="20"/>
        </w:rPr>
        <w:t xml:space="preserve">The economic crisis can impact decreasing sales of products produced by companies (Wijayangka, 2014). The decline in total sales will undoubtedly have an impact on the company's financial performance. Some companies have even been liquidated due to financial difficulties (Bintang et al., 2019). </w:t>
      </w:r>
      <w:r w:rsidR="00AD3093">
        <w:rPr>
          <w:color w:val="000000"/>
          <w:szCs w:val="20"/>
        </w:rPr>
        <w:t xml:space="preserve">Yudanto </w:t>
      </w:r>
      <w:r w:rsidRPr="00256EEC">
        <w:rPr>
          <w:color w:val="000000"/>
          <w:szCs w:val="20"/>
        </w:rPr>
        <w:t>and Santoso (2003)</w:t>
      </w:r>
      <w:r w:rsidR="00AD3093">
        <w:rPr>
          <w:color w:val="000000"/>
          <w:szCs w:val="20"/>
        </w:rPr>
        <w:t xml:space="preserve"> stated that</w:t>
      </w:r>
      <w:r w:rsidRPr="00256EEC">
        <w:rPr>
          <w:color w:val="000000"/>
          <w:szCs w:val="20"/>
        </w:rPr>
        <w:t xml:space="preserve"> the monetary crisis in 1998 did not affect the real sector's financial performance. The pharmaceutical sub-sector experienced only a slight decrease in the current ratio's average value and quick ratio. The same thing also applied to the cigarette sub-sector, which did not significantly decrease the average value of the current ratio, considering that cigarettes have already been an addictive item. Their sales were not affected by the crisis. Meanwhile, the financial performance in the consumer goods industry sector was affected by the monetary crisis when viewed from the value of the debt to equity ratio (DER), indicating a decline in debt repayment capacity. Increased DER can also be caused by increased total debt but with fixed or decreased total equity. </w:t>
      </w:r>
    </w:p>
    <w:p w:rsidR="00AD3093" w:rsidRDefault="00E90A84" w:rsidP="00256EEC">
      <w:pPr>
        <w:pStyle w:val="Ventura-Content"/>
        <w:ind w:firstLine="709"/>
        <w:rPr>
          <w:color w:val="000000"/>
          <w:szCs w:val="20"/>
        </w:rPr>
      </w:pPr>
      <w:r w:rsidRPr="00256EEC">
        <w:rPr>
          <w:color w:val="000000"/>
          <w:szCs w:val="20"/>
        </w:rPr>
        <w:t>The global economic crisis in 2008 also caused the manufacturing sector to experience financial difficulties to its lowest point. Data from the Central Statistics Agency rec</w:t>
      </w:r>
      <w:r w:rsidR="000143FC">
        <w:rPr>
          <w:color w:val="000000"/>
          <w:szCs w:val="20"/>
        </w:rPr>
        <w:t xml:space="preserve">orded that nearly 13% of the </w:t>
      </w:r>
      <w:r w:rsidR="000143FC">
        <w:rPr>
          <w:color w:val="000000"/>
          <w:szCs w:val="20"/>
          <w:lang w:val="id-ID"/>
        </w:rPr>
        <w:t>manufacturing</w:t>
      </w:r>
      <w:r w:rsidRPr="00256EEC">
        <w:rPr>
          <w:color w:val="000000"/>
          <w:szCs w:val="20"/>
        </w:rPr>
        <w:t xml:space="preserve"> sector experienced bankruptcy amid the economic crisis in</w:t>
      </w:r>
      <w:r w:rsidR="000143FC">
        <w:rPr>
          <w:color w:val="000000"/>
          <w:szCs w:val="20"/>
        </w:rPr>
        <w:t xml:space="preserve"> 2008. The only sectors that </w:t>
      </w:r>
      <w:r w:rsidR="000143FC">
        <w:rPr>
          <w:color w:val="000000"/>
          <w:szCs w:val="20"/>
          <w:lang w:val="id-ID"/>
        </w:rPr>
        <w:t>experienced</w:t>
      </w:r>
      <w:r w:rsidRPr="00256EEC">
        <w:rPr>
          <w:color w:val="000000"/>
          <w:szCs w:val="20"/>
        </w:rPr>
        <w:t xml:space="preserve"> growth were transportation and communication, gas, electricity and clean water, and agriculture (Ramadhani </w:t>
      </w:r>
      <w:r>
        <w:rPr>
          <w:color w:val="000000"/>
          <w:szCs w:val="20"/>
        </w:rPr>
        <w:t>&amp;</w:t>
      </w:r>
      <w:r w:rsidRPr="00256EEC">
        <w:rPr>
          <w:color w:val="000000"/>
          <w:szCs w:val="20"/>
        </w:rPr>
        <w:t xml:space="preserve"> Lukviarman, 2009). The global economic crisis in 2008 rocked the financial condition of companies not only in Indonesia but also in developed countries such as the United States. For example, Bear Stearns, a brokerage company that acted as intermediaries for buying and selling securities, almost defaulted, and Lehman Brothers went bankrupt shortly after Merrill Lynch was acquired. These companies' balance sheets experienced shocks, including in the level of leverage, and there was a decrease in asset value (Armansyah &amp; Effendi, 2017; Carlson &amp; Macchiavelli, 2020). This is different from the phenomenon of the economic </w:t>
      </w:r>
      <w:r w:rsidR="000143FC">
        <w:rPr>
          <w:color w:val="000000"/>
          <w:szCs w:val="20"/>
        </w:rPr>
        <w:t>crisis due to the current COVID</w:t>
      </w:r>
      <w:r w:rsidR="000143FC">
        <w:rPr>
          <w:color w:val="000000"/>
          <w:szCs w:val="20"/>
          <w:lang w:val="id-ID"/>
        </w:rPr>
        <w:t>-</w:t>
      </w:r>
      <w:r w:rsidRPr="00256EEC">
        <w:rPr>
          <w:color w:val="000000"/>
          <w:szCs w:val="20"/>
        </w:rPr>
        <w:t>19 p</w:t>
      </w:r>
      <w:r>
        <w:rPr>
          <w:color w:val="000000"/>
          <w:szCs w:val="20"/>
        </w:rPr>
        <w:t>andemic.</w:t>
      </w:r>
    </w:p>
    <w:p w:rsidR="00256EEC" w:rsidRDefault="00531A04" w:rsidP="00256EEC">
      <w:pPr>
        <w:pStyle w:val="Ventura-Content"/>
        <w:ind w:firstLine="709"/>
        <w:rPr>
          <w:color w:val="000000"/>
          <w:szCs w:val="20"/>
          <w:lang w:val="id-ID"/>
        </w:rPr>
      </w:pPr>
      <w:r w:rsidRPr="00256EEC">
        <w:rPr>
          <w:color w:val="000000"/>
          <w:szCs w:val="20"/>
        </w:rPr>
        <w:t>The work from hom</w:t>
      </w:r>
      <w:r w:rsidR="00E90A84">
        <w:rPr>
          <w:color w:val="000000"/>
          <w:szCs w:val="20"/>
        </w:rPr>
        <w:t>e (WFH) policy during the COVID</w:t>
      </w:r>
      <w:r w:rsidR="00E90A84">
        <w:rPr>
          <w:color w:val="000000"/>
          <w:szCs w:val="20"/>
          <w:lang w:val="id-ID"/>
        </w:rPr>
        <w:t>-</w:t>
      </w:r>
      <w:r w:rsidRPr="00256EEC">
        <w:rPr>
          <w:color w:val="000000"/>
          <w:szCs w:val="20"/>
        </w:rPr>
        <w:t>19 pandemic has resulted in a decrease in the number of flights, but sales of cosmetics and household appliances included in the manufacturing sector continued to increase over the past three months from February to April 2020 (Ministry of Finance, 2020). Sales of food and beverage products also continu</w:t>
      </w:r>
      <w:r w:rsidR="00E90A84">
        <w:rPr>
          <w:color w:val="000000"/>
          <w:szCs w:val="20"/>
        </w:rPr>
        <w:t>ed to increase during the COVID</w:t>
      </w:r>
      <w:r w:rsidR="00E90A84">
        <w:rPr>
          <w:color w:val="000000"/>
          <w:szCs w:val="20"/>
          <w:lang w:val="id-ID"/>
        </w:rPr>
        <w:t>-</w:t>
      </w:r>
      <w:r w:rsidRPr="00256EEC">
        <w:rPr>
          <w:color w:val="000000"/>
          <w:szCs w:val="20"/>
        </w:rPr>
        <w:t>19 pandemic.</w:t>
      </w:r>
      <w:r w:rsidR="00AD3093">
        <w:rPr>
          <w:color w:val="000000"/>
          <w:szCs w:val="20"/>
        </w:rPr>
        <w:t xml:space="preserve"> </w:t>
      </w:r>
      <w:r w:rsidRPr="00256EEC">
        <w:rPr>
          <w:color w:val="000000"/>
          <w:szCs w:val="20"/>
        </w:rPr>
        <w:t>Shen et al. (2020) showed that the</w:t>
      </w:r>
      <w:r w:rsidR="00E90A84">
        <w:rPr>
          <w:color w:val="000000"/>
          <w:szCs w:val="20"/>
        </w:rPr>
        <w:t xml:space="preserve"> COVID</w:t>
      </w:r>
      <w:r w:rsidR="00E90A84">
        <w:rPr>
          <w:color w:val="000000"/>
          <w:szCs w:val="20"/>
          <w:lang w:val="id-ID"/>
        </w:rPr>
        <w:t>-</w:t>
      </w:r>
      <w:r w:rsidRPr="00256EEC">
        <w:rPr>
          <w:color w:val="000000"/>
          <w:szCs w:val="20"/>
        </w:rPr>
        <w:t>19 pandemic had a significant negative impact on the performance of listed Chinese companies due to a decrease in the value of total revenue, which also affected the decrease in ROA. The research also proved that industries that were significantly affected in the first quarter of 2020 included tourism, catering, and trans</w:t>
      </w:r>
      <w:r w:rsidR="00E90A84">
        <w:rPr>
          <w:color w:val="000000"/>
          <w:szCs w:val="20"/>
        </w:rPr>
        <w:t>portation. The COVID</w:t>
      </w:r>
      <w:r w:rsidR="00E90A84">
        <w:rPr>
          <w:color w:val="000000"/>
          <w:szCs w:val="20"/>
          <w:lang w:val="id-ID"/>
        </w:rPr>
        <w:t>-</w:t>
      </w:r>
      <w:r w:rsidRPr="00256EEC">
        <w:rPr>
          <w:color w:val="000000"/>
          <w:szCs w:val="20"/>
        </w:rPr>
        <w:t>19 pandemic hurts the production, operations, and sales of the industry. Company managers are expected to pay attention to environmental changes outside, make adjustments to the business, establish strategies to make production, and carry out operational activities that meet cons</w:t>
      </w:r>
      <w:r w:rsidR="00E90A84">
        <w:rPr>
          <w:color w:val="000000"/>
          <w:szCs w:val="20"/>
        </w:rPr>
        <w:t>umption trends during the COVID</w:t>
      </w:r>
      <w:r w:rsidR="00E90A84">
        <w:rPr>
          <w:color w:val="000000"/>
          <w:szCs w:val="20"/>
          <w:lang w:val="id-ID"/>
        </w:rPr>
        <w:t>-</w:t>
      </w:r>
      <w:r w:rsidRPr="00256EEC">
        <w:rPr>
          <w:color w:val="000000"/>
          <w:szCs w:val="20"/>
        </w:rPr>
        <w:t>19 pandemic to assist business recovery.</w:t>
      </w:r>
    </w:p>
    <w:p w:rsidR="00256EEC" w:rsidRDefault="00E90A84" w:rsidP="00256EEC">
      <w:pPr>
        <w:pStyle w:val="Ventura-Content"/>
        <w:ind w:firstLine="709"/>
        <w:rPr>
          <w:color w:val="000000"/>
          <w:szCs w:val="20"/>
          <w:lang w:val="id-ID"/>
        </w:rPr>
      </w:pPr>
      <w:r w:rsidRPr="00256EEC">
        <w:rPr>
          <w:color w:val="000000"/>
          <w:szCs w:val="20"/>
        </w:rPr>
        <w:t>The differential impact of the COVID-19 pandemic in 2020 on the industrial sales or financial conditions needs to be examined quantitatively based on financial reports released on the Indonesia Stock Exchange (IDX). The performance of public companies is the basis for making investment decisions for investors and creditors. Therefore, this research is critical to provide relevant information to potential investors amid the country's financial difficulties during the current COVID 19 pandemic.</w:t>
      </w:r>
    </w:p>
    <w:p w:rsidR="00256EEC" w:rsidRDefault="00E90A84" w:rsidP="00256EEC">
      <w:pPr>
        <w:pStyle w:val="Ventura-Content"/>
        <w:ind w:firstLine="709"/>
        <w:rPr>
          <w:color w:val="000000"/>
          <w:szCs w:val="20"/>
          <w:lang w:val="id-ID"/>
        </w:rPr>
      </w:pPr>
      <w:r w:rsidRPr="00256EEC">
        <w:rPr>
          <w:color w:val="000000"/>
          <w:szCs w:val="20"/>
        </w:rPr>
        <w:t xml:space="preserve">Research related to company performance during the COVID 19 pandemic was also carried out by Hadiwardoyo (2020) using a qualitative phenomenological approach. The results show that the most affected </w:t>
      </w:r>
      <w:r w:rsidRPr="00256EEC">
        <w:rPr>
          <w:color w:val="000000"/>
          <w:szCs w:val="20"/>
        </w:rPr>
        <w:lastRenderedPageBreak/>
        <w:t>business sectors rely on crowds, such as tourism and tourism supporting businesses including mass transportation, hotels, and tertiary product businesses whose sales depend on public savings funds, property, and credit-giving institutions. The energy sector is also under tremendous pressure due to drastically shrinking business activities, except for PLN (State Electricity Company). Besides, many other sectors have been affected in a variety of ways. Business sectors that can benefit from social restrictions during the COVID-19 pandemic include goods delivery service providers, cellular operators and internet providers, emergency credit providers, and health insurance. The health sector business also can generate profits for certain types of products such as masks, hand sanitizers, disinfectants, soaps, and similar products. Other than print media, the media sector is also a potentially profitable business with more advertisements due to restrictions on physical movement. The food sector is considered a stable business in crisis times, only experiencing adjustments in methods, such as ordering, payment, and delivery of goods.</w:t>
      </w:r>
    </w:p>
    <w:p w:rsidR="00531A04" w:rsidRPr="00256EEC" w:rsidRDefault="00E90A84" w:rsidP="00256EEC">
      <w:pPr>
        <w:pStyle w:val="Ventura-Content"/>
        <w:ind w:firstLine="709"/>
        <w:rPr>
          <w:color w:val="000000"/>
          <w:szCs w:val="20"/>
        </w:rPr>
      </w:pPr>
      <w:r>
        <w:rPr>
          <w:color w:val="000000"/>
          <w:szCs w:val="20"/>
        </w:rPr>
        <w:t>So far, t</w:t>
      </w:r>
      <w:r w:rsidRPr="00256EEC">
        <w:rPr>
          <w:color w:val="000000"/>
          <w:szCs w:val="20"/>
        </w:rPr>
        <w:t xml:space="preserve">he information </w:t>
      </w:r>
      <w:r>
        <w:rPr>
          <w:color w:val="000000"/>
          <w:szCs w:val="20"/>
        </w:rPr>
        <w:t xml:space="preserve">related to the impact of COVID-19 on the firm performance </w:t>
      </w:r>
      <w:r w:rsidRPr="00256EEC">
        <w:rPr>
          <w:color w:val="000000"/>
          <w:szCs w:val="20"/>
        </w:rPr>
        <w:t xml:space="preserve">is limited </w:t>
      </w:r>
      <w:r>
        <w:rPr>
          <w:color w:val="000000"/>
          <w:szCs w:val="20"/>
        </w:rPr>
        <w:t>based on data collected qualitatively (</w:t>
      </w:r>
      <w:r w:rsidRPr="00256EEC">
        <w:rPr>
          <w:color w:val="000000"/>
          <w:szCs w:val="20"/>
        </w:rPr>
        <w:t>Hadiwardoyo</w:t>
      </w:r>
      <w:r>
        <w:rPr>
          <w:color w:val="000000"/>
          <w:szCs w:val="20"/>
        </w:rPr>
        <w:t xml:space="preserve">, </w:t>
      </w:r>
      <w:r w:rsidRPr="00256EEC">
        <w:rPr>
          <w:color w:val="000000"/>
          <w:szCs w:val="20"/>
        </w:rPr>
        <w:t>2020)</w:t>
      </w:r>
      <w:r>
        <w:rPr>
          <w:color w:val="000000"/>
          <w:szCs w:val="20"/>
        </w:rPr>
        <w:t>.</w:t>
      </w:r>
      <w:r w:rsidRPr="00256EEC">
        <w:rPr>
          <w:color w:val="000000"/>
          <w:szCs w:val="20"/>
        </w:rPr>
        <w:t xml:space="preserve"> Therefore, this study is necessary to prove the results of research conduct</w:t>
      </w:r>
      <w:r>
        <w:rPr>
          <w:color w:val="000000"/>
          <w:szCs w:val="20"/>
        </w:rPr>
        <w:t>ed by Hadiwardoyo (2020) using</w:t>
      </w:r>
      <w:r w:rsidRPr="00256EEC">
        <w:rPr>
          <w:color w:val="000000"/>
          <w:szCs w:val="20"/>
        </w:rPr>
        <w:t xml:space="preserve"> a quantitative </w:t>
      </w:r>
      <w:r>
        <w:rPr>
          <w:color w:val="000000"/>
          <w:szCs w:val="20"/>
        </w:rPr>
        <w:t>approach</w:t>
      </w:r>
      <w:r w:rsidRPr="00256EEC">
        <w:rPr>
          <w:color w:val="000000"/>
          <w:szCs w:val="20"/>
        </w:rPr>
        <w:t>. This research is conducted by examining changes in public companies' performance during the COVID-19 pandemic using a quantitative approach to find out which sub-sectors of the public industry that are negatively or p</w:t>
      </w:r>
      <w:r w:rsidR="000D4145">
        <w:rPr>
          <w:color w:val="000000"/>
          <w:szCs w:val="20"/>
        </w:rPr>
        <w:t>ositively affected by the COVID</w:t>
      </w:r>
      <w:r w:rsidR="000D4145">
        <w:rPr>
          <w:color w:val="000000"/>
          <w:szCs w:val="20"/>
          <w:lang w:val="id-ID"/>
        </w:rPr>
        <w:t>-</w:t>
      </w:r>
      <w:r w:rsidRPr="00256EEC">
        <w:rPr>
          <w:color w:val="000000"/>
          <w:szCs w:val="20"/>
        </w:rPr>
        <w:t>19 pandemic. This research is expected to provide relevant information for investors in making invest</w:t>
      </w:r>
      <w:r w:rsidR="000D4145">
        <w:rPr>
          <w:color w:val="000000"/>
          <w:szCs w:val="20"/>
        </w:rPr>
        <w:t>ment decisions during the COVID</w:t>
      </w:r>
      <w:r w:rsidR="000D4145">
        <w:rPr>
          <w:color w:val="000000"/>
          <w:szCs w:val="20"/>
          <w:lang w:val="id-ID"/>
        </w:rPr>
        <w:t>-</w:t>
      </w:r>
      <w:r w:rsidRPr="00256EEC">
        <w:rPr>
          <w:color w:val="000000"/>
          <w:szCs w:val="20"/>
        </w:rPr>
        <w:t>19 pandemic.</w:t>
      </w:r>
    </w:p>
    <w:p w:rsidR="00982C26" w:rsidRPr="00256EEC" w:rsidRDefault="00982C26" w:rsidP="00531A04">
      <w:pPr>
        <w:pStyle w:val="Ventura-Content"/>
        <w:ind w:firstLine="0"/>
      </w:pPr>
    </w:p>
    <w:p w:rsidR="00682AB0" w:rsidRPr="00256EEC" w:rsidRDefault="00E90A84" w:rsidP="00682AB0">
      <w:pPr>
        <w:pStyle w:val="Ventura-Heading1"/>
      </w:pPr>
      <w:r>
        <w:t xml:space="preserve">2. THEORETICAL </w:t>
      </w:r>
      <w:r>
        <w:rPr>
          <w:lang w:val="id-ID"/>
        </w:rPr>
        <w:t>BASIS</w:t>
      </w:r>
      <w:r w:rsidRPr="00256EEC">
        <w:t xml:space="preserve"> AND HYPOTHESES</w:t>
      </w:r>
    </w:p>
    <w:p w:rsidR="00531A04" w:rsidRPr="0083383A" w:rsidRDefault="00E90A84" w:rsidP="00531A04">
      <w:pPr>
        <w:pStyle w:val="Ventura-Content"/>
        <w:ind w:firstLine="0"/>
        <w:rPr>
          <w:b/>
          <w:i/>
        </w:rPr>
      </w:pPr>
      <w:r w:rsidRPr="0083383A">
        <w:rPr>
          <w:b/>
          <w:i/>
        </w:rPr>
        <w:t>Resource-Based Theory</w:t>
      </w:r>
    </w:p>
    <w:p w:rsidR="00531A04" w:rsidRPr="00256EEC" w:rsidRDefault="00E90A84" w:rsidP="00531A04">
      <w:pPr>
        <w:pStyle w:val="Ventura-Content"/>
        <w:ind w:firstLine="0"/>
      </w:pPr>
      <w:r w:rsidRPr="00256EEC">
        <w:t xml:space="preserve">The company's performance will be optimal if the company has a competitive advantage that is difficult to imitate and is firmly attached to its characteristics, as described in the resource-based theory. According to Sun et al. (2020), to help mining companies' financial performance in China from various risky economic situations, it is necessary to create new competitive advantages for long-term development. Competitive advantage is obtained by utilizing, managing, and controlling owned resources, such as organizational processes and company strategies, in dealing with various conditions, including when facing an economic crisis. Resources that also need to be appropriately managed include assets, knowledge of technology, and human resources' ability to manage the company in various situations and conditions. Sukma (2018) also states that it is essential to create a competitive advantage by creating products or services that have a high economic value that is difficult to imitate and even replace so that they become primary needs for society. The company's performance is highly dependent on management's ability to produce and manage unique and specific resources to compete and survive in various situations. Appreciation for employee performance is also one of the proven efforts to increase company productivity (Unger et al., 2020). This increase in productivity will undoubtedly have an impact on the ability of competitiveness and improve company performance. </w:t>
      </w:r>
    </w:p>
    <w:p w:rsidR="00531A04" w:rsidRPr="00256EEC" w:rsidRDefault="00531A04" w:rsidP="00531A04">
      <w:pPr>
        <w:pStyle w:val="Ventura-Content"/>
        <w:ind w:firstLine="0"/>
      </w:pPr>
    </w:p>
    <w:p w:rsidR="00531A04" w:rsidRPr="0083383A" w:rsidRDefault="00E90A84" w:rsidP="00531A04">
      <w:pPr>
        <w:pStyle w:val="Ventura-Content"/>
        <w:ind w:firstLine="0"/>
        <w:rPr>
          <w:b/>
          <w:i/>
        </w:rPr>
      </w:pPr>
      <w:r w:rsidRPr="0083383A">
        <w:rPr>
          <w:b/>
          <w:i/>
        </w:rPr>
        <w:t>Financial Reporting Transparency</w:t>
      </w:r>
    </w:p>
    <w:p w:rsidR="00531A04" w:rsidRPr="00256EEC" w:rsidRDefault="00E90A84" w:rsidP="00531A04">
      <w:pPr>
        <w:pStyle w:val="Ventura-Content"/>
        <w:ind w:firstLine="0"/>
      </w:pPr>
      <w:r w:rsidRPr="00256EEC">
        <w:t xml:space="preserve">Transparency is a form of corporate administrative accountability to the public in realizing good governance by giving users </w:t>
      </w:r>
      <w:r w:rsidR="00306A5E">
        <w:t>a</w:t>
      </w:r>
      <w:r w:rsidRPr="00256EEC">
        <w:t xml:space="preserve">ccess </w:t>
      </w:r>
      <w:r w:rsidR="00306A5E">
        <w:t>to information to company financial performance</w:t>
      </w:r>
      <w:r w:rsidRPr="00256EEC">
        <w:t xml:space="preserve"> (Davici, 2018). According to Mardiasmo (2002), transparency is openness in companies' information about resource management activities for the community or those who need information. The application of transparency in financial reports in public sector organizations is expected to reduce information asymmetry between internal and external parties (Davici, 2018). Transparency is a form of disclosure that is useful in decision making (Gunawan, 2016). According to Ridha and Basuki (2012), the implementation of transparency in f</w:t>
      </w:r>
      <w:r w:rsidR="00460846">
        <w:t xml:space="preserve">inancial reporting includes </w:t>
      </w:r>
      <w:r w:rsidRPr="00256EEC">
        <w:t>providing information regarding the success of the</w:t>
      </w:r>
      <w:r w:rsidR="00460846">
        <w:t xml:space="preserve"> predetermined achievements, </w:t>
      </w:r>
      <w:r w:rsidRPr="00256EEC">
        <w:t>providing accurate and t</w:t>
      </w:r>
      <w:r w:rsidR="00460846">
        <w:t xml:space="preserve">imely financial information, </w:t>
      </w:r>
      <w:r w:rsidRPr="00256EEC">
        <w:t>providing access to stakeholders,</w:t>
      </w:r>
      <w:r w:rsidR="00460846">
        <w:t xml:space="preserve"> and </w:t>
      </w:r>
      <w:r w:rsidRPr="00256EEC">
        <w:t>disclosing the information required according to standards (Financial Accounting Standards), and 5) presenting an overview of the achievements of financial performance during the reporting year.</w:t>
      </w:r>
    </w:p>
    <w:p w:rsidR="00531A04" w:rsidRPr="00256EEC" w:rsidRDefault="00531A04" w:rsidP="00531A04">
      <w:pPr>
        <w:pStyle w:val="Ventura-Content"/>
        <w:ind w:firstLine="0"/>
      </w:pPr>
    </w:p>
    <w:p w:rsidR="00531A04" w:rsidRPr="0083383A" w:rsidRDefault="00E90A84" w:rsidP="00531A04">
      <w:pPr>
        <w:pStyle w:val="Ventura-Content"/>
        <w:ind w:firstLine="0"/>
        <w:rPr>
          <w:b/>
          <w:i/>
        </w:rPr>
      </w:pPr>
      <w:r w:rsidRPr="0083383A">
        <w:rPr>
          <w:b/>
          <w:i/>
        </w:rPr>
        <w:t>Company’s Financial Performance</w:t>
      </w:r>
    </w:p>
    <w:p w:rsidR="00531A04" w:rsidRPr="00256EEC" w:rsidRDefault="00E90A84" w:rsidP="00531A04">
      <w:pPr>
        <w:pStyle w:val="Ventura-Content"/>
        <w:ind w:firstLine="0"/>
      </w:pPr>
      <w:r w:rsidRPr="00256EEC">
        <w:t xml:space="preserve">The company's financial performance is a form of corporate achievement in the financial </w:t>
      </w:r>
      <w:r w:rsidR="00585FB7">
        <w:t>aspects</w:t>
      </w:r>
      <w:r w:rsidRPr="00256EEC">
        <w:t xml:space="preserve"> </w:t>
      </w:r>
      <w:r w:rsidR="00256EEC">
        <w:t xml:space="preserve">related to income and </w:t>
      </w:r>
      <w:r w:rsidR="00256EEC">
        <w:rPr>
          <w:lang w:val="id-ID"/>
        </w:rPr>
        <w:t>overall</w:t>
      </w:r>
      <w:r w:rsidRPr="00256EEC">
        <w:t xml:space="preserve"> operating costs, debt structure, assets, and investment returns. Discussions on financial performance are not limited to one-period discussions because stakeholders will also pay attentio</w:t>
      </w:r>
      <w:r w:rsidR="00585FB7">
        <w:t>n to any changes (trends</w:t>
      </w:r>
      <w:r w:rsidRPr="00256EEC">
        <w:t>) in the company's financial performance</w:t>
      </w:r>
      <w:r w:rsidR="00585FB7">
        <w:t>,</w:t>
      </w:r>
      <w:r w:rsidRPr="00256EEC">
        <w:t xml:space="preserve"> which include changes in the statement of financial </w:t>
      </w:r>
      <w:r w:rsidRPr="00256EEC">
        <w:lastRenderedPageBreak/>
        <w:t>position, profit or loss, or cash flow. The company's financial performance is very dependent on policies</w:t>
      </w:r>
      <w:r w:rsidR="00585FB7">
        <w:t>, strategies, and actions</w:t>
      </w:r>
      <w:r w:rsidRPr="00256EEC">
        <w:t xml:space="preserve"> </w:t>
      </w:r>
      <w:r w:rsidR="00585FB7">
        <w:t>implemented</w:t>
      </w:r>
      <w:r w:rsidRPr="00256EEC">
        <w:t xml:space="preserve"> by management to realize organizational goals. Financial perfo</w:t>
      </w:r>
      <w:r w:rsidR="000D4145">
        <w:t xml:space="preserve">rmance can be measured through </w:t>
      </w:r>
      <w:r w:rsidR="000D4145">
        <w:rPr>
          <w:lang w:val="id-ID"/>
        </w:rPr>
        <w:t>financial</w:t>
      </w:r>
      <w:r w:rsidRPr="00256EEC">
        <w:t xml:space="preserve"> statement analysis in the form of interpretations of financial data summarized in financial reports as a first step to meet the information needs of internal and external parti</w:t>
      </w:r>
      <w:r w:rsidR="00AD3093">
        <w:t>es of the company (Rhamadana &amp;</w:t>
      </w:r>
      <w:r w:rsidRPr="00256EEC">
        <w:t xml:space="preserve"> Triyonowati, 2016). According to Subramanyam (2014), financial performance is a condition that reflects the financial condition of a company based on predetermined goals, standards, and criteria.</w:t>
      </w:r>
    </w:p>
    <w:p w:rsidR="00531A04" w:rsidRPr="00256EEC" w:rsidRDefault="00531A04" w:rsidP="00531A04">
      <w:pPr>
        <w:pStyle w:val="Ventura-Content"/>
        <w:ind w:firstLine="0"/>
      </w:pPr>
    </w:p>
    <w:p w:rsidR="00531A04" w:rsidRPr="0083383A" w:rsidRDefault="00E90A84" w:rsidP="00531A04">
      <w:pPr>
        <w:pStyle w:val="Ventura-Content"/>
        <w:ind w:firstLine="0"/>
        <w:rPr>
          <w:b/>
          <w:i/>
        </w:rPr>
      </w:pPr>
      <w:r w:rsidRPr="0083383A">
        <w:rPr>
          <w:b/>
          <w:i/>
        </w:rPr>
        <w:t>Financial Ratio</w:t>
      </w:r>
    </w:p>
    <w:p w:rsidR="00531A04" w:rsidRDefault="00E90A84" w:rsidP="00531A04">
      <w:pPr>
        <w:pStyle w:val="Ventura-Content"/>
        <w:ind w:firstLine="0"/>
      </w:pPr>
      <w:r w:rsidRPr="00256EEC">
        <w:t>Harahap (2011) explains that financial ratios are the values obtained from comparing one item with another item in the financial statements with a relevant and significant relatio</w:t>
      </w:r>
      <w:r w:rsidR="000D4145">
        <w:t xml:space="preserve">nship. Financial ratio </w:t>
      </w:r>
      <w:r w:rsidR="000D4145">
        <w:rPr>
          <w:lang w:val="id-ID"/>
        </w:rPr>
        <w:t>analysis</w:t>
      </w:r>
      <w:r w:rsidRPr="00256EEC">
        <w:t xml:space="preserve"> is used to help evaluate a company's financial performance. The use of ratios is the most effective way to measure the company's </w:t>
      </w:r>
      <w:r w:rsidR="00306A5E">
        <w:t xml:space="preserve">financial </w:t>
      </w:r>
      <w:r w:rsidRPr="00256EEC">
        <w:t>performance</w:t>
      </w:r>
      <w:r w:rsidR="006F56BD">
        <w:t xml:space="preserve"> (Rhamadana &amp;</w:t>
      </w:r>
      <w:r w:rsidRPr="00256EEC">
        <w:t xml:space="preserve"> Triyonowati, 2016). Foster (1986) states that four things encourage the use of financial ratio models in financial statement analysis: 1) being able to control the emergence of significant differences in numbers between companies or at the same company in different periods, 2) </w:t>
      </w:r>
      <w:r w:rsidR="00585FB7">
        <w:t>making</w:t>
      </w:r>
      <w:r w:rsidRPr="00256EEC">
        <w:t xml:space="preserve"> more comfortable to use in statistical testing, 3) investigating theories related to financial ratios, and (4) being able to be used as a measuring tool to test estimates or predictions of certain variables such as empirical bankruptcy. Fraser and Ormiston (2016) suggest four categories of ratios used to analyze a firm's finan</w:t>
      </w:r>
      <w:r w:rsidR="00AD3093">
        <w:t xml:space="preserve">cial performance. They are liquidity ratio that </w:t>
      </w:r>
      <w:r w:rsidRPr="00256EEC">
        <w:t>describes the company's ability to mee</w:t>
      </w:r>
      <w:r w:rsidR="00AD3093">
        <w:t>t short-term liabilities (debt), solvency ratio (leverage) that</w:t>
      </w:r>
      <w:r w:rsidRPr="00256EEC">
        <w:t xml:space="preserve"> </w:t>
      </w:r>
      <w:r w:rsidR="00AD3093">
        <w:t xml:space="preserve">is used </w:t>
      </w:r>
      <w:r w:rsidRPr="00256EEC">
        <w:t>to measure the extent to which the company's</w:t>
      </w:r>
      <w:r w:rsidR="00AD3093">
        <w:t xml:space="preserve"> assets are financed with debt, a</w:t>
      </w:r>
      <w:r w:rsidRPr="00256EEC">
        <w:t>ctivity</w:t>
      </w:r>
      <w:r w:rsidR="00AD3093">
        <w:t xml:space="preserve"> ratio that is </w:t>
      </w:r>
      <w:r w:rsidRPr="00256EEC">
        <w:t>used to measure the effectiveness of t</w:t>
      </w:r>
      <w:r w:rsidR="00AD3093">
        <w:t>he company using its assets, and p</w:t>
      </w:r>
      <w:r w:rsidR="00256EEC">
        <w:rPr>
          <w:lang w:val="id-ID"/>
        </w:rPr>
        <w:t>rofitability</w:t>
      </w:r>
      <w:r w:rsidRPr="00256EEC">
        <w:t xml:space="preserve"> ratio </w:t>
      </w:r>
      <w:r w:rsidR="00AD3093">
        <w:t>that is</w:t>
      </w:r>
      <w:r w:rsidRPr="00256EEC">
        <w:t xml:space="preserve"> used to assess the company's ability to generate profits. </w:t>
      </w:r>
    </w:p>
    <w:p w:rsidR="00AD3093" w:rsidRPr="00256EEC" w:rsidRDefault="00AD3093" w:rsidP="00531A04">
      <w:pPr>
        <w:pStyle w:val="Ventura-Content"/>
        <w:ind w:firstLine="0"/>
      </w:pPr>
    </w:p>
    <w:p w:rsidR="00531A04" w:rsidRPr="0083383A" w:rsidRDefault="00E90A84" w:rsidP="00531A04">
      <w:pPr>
        <w:pStyle w:val="Ventura-Content"/>
        <w:ind w:firstLine="0"/>
        <w:rPr>
          <w:b/>
          <w:i/>
        </w:rPr>
      </w:pPr>
      <w:r w:rsidRPr="0083383A">
        <w:rPr>
          <w:b/>
          <w:i/>
        </w:rPr>
        <w:t>Liquidity Ratio</w:t>
      </w:r>
    </w:p>
    <w:p w:rsidR="00604713" w:rsidRDefault="00E90A84" w:rsidP="00604713">
      <w:pPr>
        <w:pStyle w:val="Ventura-Content"/>
        <w:ind w:firstLine="0"/>
      </w:pPr>
      <w:r>
        <w:rPr>
          <w:rStyle w:val="jlqj4b"/>
          <w:lang w:val="en"/>
        </w:rPr>
        <w:t>The liquidity ratio measures the company's ability to pay obligations that are due within one year.</w:t>
      </w:r>
      <w:r>
        <w:rPr>
          <w:rStyle w:val="viiyi"/>
          <w:lang w:val="en"/>
        </w:rPr>
        <w:t xml:space="preserve"> </w:t>
      </w:r>
      <w:r>
        <w:rPr>
          <w:rStyle w:val="jlqj4b"/>
          <w:lang w:val="en"/>
        </w:rPr>
        <w:t xml:space="preserve">One of the ratios commonly used to measure liquidity is the current ratio. </w:t>
      </w:r>
      <w:r w:rsidR="00531A04" w:rsidRPr="00256EEC">
        <w:t>The current ratio is the ratio used to compare current assets to current debt. The current ratio is used to see the current assets' ability to meet its current liabilities (Sari, 2020). A low current ratio value illustrates a problem in liquidity. The current ratio can be said to be normal or on a safe scale if the value is above100%, which means that current assets' value must be higher than the value of current debt. The formula is</w:t>
      </w:r>
      <w:r w:rsidR="00460846">
        <w:t xml:space="preserve"> current ratio = current assets/</w:t>
      </w:r>
      <w:r w:rsidR="00531A04" w:rsidRPr="00256EEC">
        <w:t xml:space="preserve">current debt (Fraser </w:t>
      </w:r>
      <w:r w:rsidR="009D4A39">
        <w:t xml:space="preserve">&amp; </w:t>
      </w:r>
      <w:r w:rsidR="00531A04" w:rsidRPr="00256EEC">
        <w:t xml:space="preserve">Ormiston, 2016). Managers will see the company's performance based on the profit from </w:t>
      </w:r>
      <w:r>
        <w:t>the</w:t>
      </w:r>
      <w:r w:rsidR="00531A04" w:rsidRPr="00256EEC">
        <w:t xml:space="preserve"> operational activity carried out, in which a high current ratio value i</w:t>
      </w:r>
      <w:r w:rsidR="008F6439">
        <w:t>s better (Rusdin, 2008). Howeve</w:t>
      </w:r>
      <w:r w:rsidR="00531A04" w:rsidRPr="00256EEC">
        <w:t xml:space="preserve">r, if the current ratio value is too high, it is also not good because it </w:t>
      </w:r>
      <w:r>
        <w:t>shows</w:t>
      </w:r>
      <w:r w:rsidR="00531A04" w:rsidRPr="00256EEC">
        <w:t xml:space="preserve"> the number of idle funds and reduces its ability to generate profits (Subramanyam, 2014). The current ratio can assess the company's liquidity ability to manage its assets to meet its short-term obligations and ensure that it can continue its business in the future (Sajiyah, 2016).</w:t>
      </w:r>
      <w:r w:rsidR="00F219CC">
        <w:t xml:space="preserve"> </w:t>
      </w:r>
      <w:r w:rsidR="00F219CC">
        <w:rPr>
          <w:rStyle w:val="jlqj4b"/>
          <w:lang w:val="en"/>
        </w:rPr>
        <w:t>This ratio is calculated by comparing current assets to current liabilities.</w:t>
      </w:r>
      <w:r w:rsidR="00F219CC">
        <w:t xml:space="preserve"> </w:t>
      </w:r>
    </w:p>
    <w:p w:rsidR="00531A04" w:rsidRPr="00256EEC" w:rsidRDefault="00E90A84" w:rsidP="00604713">
      <w:pPr>
        <w:pStyle w:val="Ventura-Content"/>
        <w:ind w:firstLine="540"/>
      </w:pPr>
      <w:r>
        <w:rPr>
          <w:rStyle w:val="jlqj4b"/>
          <w:lang w:val="en"/>
        </w:rPr>
        <w:t>An economic crisis can make a company experience liquidity difficulties.</w:t>
      </w:r>
      <w:r>
        <w:rPr>
          <w:rStyle w:val="viiyi"/>
          <w:lang w:val="en"/>
        </w:rPr>
        <w:t xml:space="preserve"> </w:t>
      </w:r>
      <w:r>
        <w:rPr>
          <w:rStyle w:val="jlqj4b"/>
          <w:lang w:val="en"/>
        </w:rPr>
        <w:t>The decline in economic growth has an impact on decreasing people's purchasing power.</w:t>
      </w:r>
      <w:r>
        <w:rPr>
          <w:rStyle w:val="viiyi"/>
          <w:lang w:val="en"/>
        </w:rPr>
        <w:t xml:space="preserve"> </w:t>
      </w:r>
      <w:r>
        <w:rPr>
          <w:rStyle w:val="jlqj4b"/>
          <w:lang w:val="en"/>
        </w:rPr>
        <w:t>As a result, many customer receivables are uncollectible, reducing the company's cash.</w:t>
      </w:r>
      <w:r>
        <w:rPr>
          <w:rStyle w:val="viiyi"/>
          <w:lang w:val="en"/>
        </w:rPr>
        <w:t xml:space="preserve"> </w:t>
      </w:r>
      <w:r>
        <w:rPr>
          <w:rStyle w:val="jlqj4b"/>
          <w:lang w:val="en"/>
        </w:rPr>
        <w:t>On the other hand, the economic crisis also made many supplies pile up.</w:t>
      </w:r>
      <w:r>
        <w:rPr>
          <w:rStyle w:val="viiyi"/>
          <w:lang w:val="en"/>
        </w:rPr>
        <w:t xml:space="preserve"> </w:t>
      </w:r>
      <w:r>
        <w:rPr>
          <w:rStyle w:val="jlqj4b"/>
          <w:lang w:val="en"/>
        </w:rPr>
        <w:t>When liquidity is measured using the current ratio, there will be an increase in the liquidity ratio.</w:t>
      </w:r>
      <w:r>
        <w:rPr>
          <w:rStyle w:val="viiyi"/>
          <w:lang w:val="en"/>
        </w:rPr>
        <w:t xml:space="preserve"> </w:t>
      </w:r>
      <w:r>
        <w:rPr>
          <w:rStyle w:val="jlqj4b"/>
          <w:lang w:val="en"/>
        </w:rPr>
        <w:t xml:space="preserve">The increase in the liquidity ratio is not a good condition. </w:t>
      </w:r>
      <w:r w:rsidR="00604713">
        <w:t xml:space="preserve">Previous studies show indecisive results regarding the impact of an economic crisis on the current ratio. </w:t>
      </w:r>
      <w:r w:rsidRPr="00256EEC">
        <w:t xml:space="preserve">Bintang et al. (2019) show that the changes or differences in the current ratio's average value were not significant. </w:t>
      </w:r>
      <w:r w:rsidR="00604713">
        <w:t xml:space="preserve">However, </w:t>
      </w:r>
      <w:r w:rsidRPr="00256EEC">
        <w:t xml:space="preserve">Istiningrum (2005) found different results by stating that the 1998 monetary crisis caused a significant decrease in the current ratio value. </w:t>
      </w:r>
    </w:p>
    <w:p w:rsidR="00531A04" w:rsidRPr="00256EEC" w:rsidRDefault="00531A04" w:rsidP="00531A04">
      <w:pPr>
        <w:pStyle w:val="Ventura-Content"/>
        <w:ind w:firstLine="0"/>
      </w:pPr>
    </w:p>
    <w:p w:rsidR="00531A04" w:rsidRPr="0083383A" w:rsidRDefault="00E90A84" w:rsidP="00531A04">
      <w:pPr>
        <w:pStyle w:val="Ventura-Content"/>
        <w:ind w:firstLine="0"/>
        <w:rPr>
          <w:b/>
          <w:i/>
        </w:rPr>
      </w:pPr>
      <w:r w:rsidRPr="0083383A">
        <w:rPr>
          <w:b/>
          <w:i/>
        </w:rPr>
        <w:t>Leverage Ratio</w:t>
      </w:r>
    </w:p>
    <w:p w:rsidR="00531A04" w:rsidRPr="00256EEC" w:rsidRDefault="00E90A84" w:rsidP="00531A04">
      <w:pPr>
        <w:pStyle w:val="Ventura-Content"/>
        <w:ind w:firstLine="0"/>
      </w:pPr>
      <w:r>
        <w:rPr>
          <w:rStyle w:val="jlqj4b"/>
          <w:lang w:val="en"/>
        </w:rPr>
        <w:t>The leverage ratio measures the company's ability to pay off all of its obligations.</w:t>
      </w:r>
      <w:r>
        <w:rPr>
          <w:rStyle w:val="viiyi"/>
          <w:lang w:val="en"/>
        </w:rPr>
        <w:t xml:space="preserve"> </w:t>
      </w:r>
      <w:r>
        <w:rPr>
          <w:rStyle w:val="jlqj4b"/>
          <w:lang w:val="en"/>
        </w:rPr>
        <w:t xml:space="preserve">This ratio can be measured using the debt to equity ratio (DER). </w:t>
      </w:r>
      <w:r>
        <w:t>This ratio</w:t>
      </w:r>
      <w:r w:rsidRPr="00256EEC">
        <w:t xml:space="preserve"> shows the issuer's capital structure </w:t>
      </w:r>
      <w:r>
        <w:t>consisting of debt and equity</w:t>
      </w:r>
      <w:r w:rsidRPr="00256EEC">
        <w:t xml:space="preserve"> (Handayani </w:t>
      </w:r>
      <w:r w:rsidR="009D4A39">
        <w:t>&amp;</w:t>
      </w:r>
      <w:r w:rsidRPr="00256EEC">
        <w:t xml:space="preserve"> Zulyanti, 2018). This ratio is used to assess </w:t>
      </w:r>
      <w:r w:rsidR="00604713" w:rsidRPr="00256EEC">
        <w:t xml:space="preserve">the extent to which company assets </w:t>
      </w:r>
      <w:r w:rsidR="00604713">
        <w:t xml:space="preserve">are financed with debt </w:t>
      </w:r>
      <w:r w:rsidRPr="00256EEC">
        <w:t>(Fraser</w:t>
      </w:r>
      <w:r w:rsidR="00604713">
        <w:t xml:space="preserve"> </w:t>
      </w:r>
      <w:r w:rsidR="009D4A39">
        <w:t>&amp;</w:t>
      </w:r>
      <w:r w:rsidR="00604713">
        <w:t xml:space="preserve"> Ormiston, 2016; </w:t>
      </w:r>
      <w:r w:rsidR="00795CC6">
        <w:rPr>
          <w:lang w:val="id-ID"/>
        </w:rPr>
        <w:t>Sajiyah</w:t>
      </w:r>
      <w:r w:rsidRPr="00256EEC">
        <w:t xml:space="preserve">, 2016). </w:t>
      </w:r>
      <w:r w:rsidR="00604713">
        <w:t>It can also</w:t>
      </w:r>
      <w:r w:rsidRPr="00256EEC">
        <w:t xml:space="preserve"> represent the solvency ratio showing the number of funds needed to cover all or part of the costs required. </w:t>
      </w:r>
      <w:r w:rsidR="00604713">
        <w:t xml:space="preserve">This ratio </w:t>
      </w:r>
      <w:r w:rsidRPr="00256EEC">
        <w:t xml:space="preserve">determines the company's ability to pay off not only short-term debt but also long-term debt. The use of short-term debt will affect liquidity, and long-term debt will affect solvency. </w:t>
      </w:r>
      <w:r w:rsidR="00604713">
        <w:t>This ratio</w:t>
      </w:r>
      <w:r w:rsidRPr="00256EEC">
        <w:t xml:space="preserve"> will be of concern to creditors, especially long-term creditors (Abbas, 2018). The smaller the DER value, the better the company's condition. </w:t>
      </w:r>
      <w:r w:rsidR="00604713">
        <w:t>Ideally,</w:t>
      </w:r>
      <w:r w:rsidRPr="00256EEC">
        <w:t xml:space="preserve"> the </w:t>
      </w:r>
      <w:r w:rsidRPr="00256EEC">
        <w:lastRenderedPageBreak/>
        <w:t xml:space="preserve">company's amount of capital </w:t>
      </w:r>
      <w:r w:rsidR="00604713">
        <w:t>should be</w:t>
      </w:r>
      <w:r w:rsidRPr="00256EEC">
        <w:t xml:space="preserve"> </w:t>
      </w:r>
      <w:r w:rsidR="00604713">
        <w:t>higher</w:t>
      </w:r>
      <w:r w:rsidRPr="00256EEC">
        <w:t xml:space="preserve"> than the amount of debt (Laiman &amp; Hatane, 2017). </w:t>
      </w:r>
      <w:r w:rsidR="00F1468B">
        <w:t>The formula for DER is total liabilities divided by total equities.</w:t>
      </w:r>
    </w:p>
    <w:p w:rsidR="00531A04" w:rsidRDefault="00E90A84" w:rsidP="006D7423">
      <w:pPr>
        <w:pStyle w:val="Ventura-Content"/>
        <w:ind w:firstLine="709"/>
      </w:pPr>
      <w:r>
        <w:rPr>
          <w:rStyle w:val="jlqj4b"/>
          <w:lang w:val="en"/>
        </w:rPr>
        <w:t>The economic crisis caused many companies to reduce their production activities due to the decline in people's purchasing power.</w:t>
      </w:r>
      <w:r>
        <w:rPr>
          <w:rStyle w:val="viiyi"/>
          <w:lang w:val="en"/>
        </w:rPr>
        <w:t xml:space="preserve"> </w:t>
      </w:r>
      <w:r>
        <w:rPr>
          <w:rStyle w:val="jlqj4b"/>
          <w:lang w:val="en"/>
        </w:rPr>
        <w:t>The company's activities and performance have decreased so that when companies need loans, fund providers, such as banks and other financing institutions, are reluctant to provide loans.</w:t>
      </w:r>
      <w:r>
        <w:rPr>
          <w:rStyle w:val="viiyi"/>
          <w:lang w:val="en"/>
        </w:rPr>
        <w:t xml:space="preserve"> </w:t>
      </w:r>
      <w:r>
        <w:rPr>
          <w:rStyle w:val="jlqj4b"/>
          <w:lang w:val="en"/>
        </w:rPr>
        <w:t xml:space="preserve">Thus, the economic crisis tends to reduce the company's debt ratio. </w:t>
      </w:r>
      <w:r w:rsidR="00A3441C">
        <w:t>Previous studies also reveal different results regarding the impact of the financial crisis on financial leverage.</w:t>
      </w:r>
      <w:r w:rsidR="008F6439">
        <w:t xml:space="preserve"> </w:t>
      </w:r>
      <w:r w:rsidR="009D4A39">
        <w:t>Proença, Laureano, and</w:t>
      </w:r>
      <w:r w:rsidR="006D7423" w:rsidRPr="006D7423">
        <w:t xml:space="preserve"> Laureano (2014) prove that financial crisis cause firms</w:t>
      </w:r>
      <w:r w:rsidR="006D7423">
        <w:t xml:space="preserve"> debt ratio to decrease.</w:t>
      </w:r>
      <w:r w:rsidRPr="00256EEC">
        <w:t xml:space="preserve"> </w:t>
      </w:r>
      <w:r w:rsidR="008F6439">
        <w:t xml:space="preserve">However, </w:t>
      </w:r>
      <w:r w:rsidR="008F6439" w:rsidRPr="00256EEC">
        <w:t>Rofiqoh (2001)</w:t>
      </w:r>
      <w:r w:rsidR="008F6439">
        <w:t xml:space="preserve"> </w:t>
      </w:r>
      <w:r w:rsidRPr="00256EEC">
        <w:t>show that there is no signi</w:t>
      </w:r>
      <w:r w:rsidR="006D7423">
        <w:t>ficant difference in DER value.</w:t>
      </w:r>
    </w:p>
    <w:p w:rsidR="00531A04" w:rsidRPr="00256EEC" w:rsidRDefault="00531A04" w:rsidP="00531A04">
      <w:pPr>
        <w:pStyle w:val="Ventura-Content"/>
        <w:ind w:firstLine="0"/>
      </w:pPr>
    </w:p>
    <w:p w:rsidR="00531A04" w:rsidRPr="0083383A" w:rsidRDefault="00E90A84" w:rsidP="00531A04">
      <w:pPr>
        <w:pStyle w:val="Ventura-Content"/>
        <w:ind w:firstLine="0"/>
        <w:rPr>
          <w:b/>
          <w:i/>
        </w:rPr>
      </w:pPr>
      <w:r w:rsidRPr="00F1468B">
        <w:rPr>
          <w:b/>
          <w:i/>
        </w:rPr>
        <w:t>Profitability Ratio</w:t>
      </w:r>
      <w:r w:rsidRPr="0083383A">
        <w:rPr>
          <w:b/>
          <w:i/>
        </w:rPr>
        <w:t xml:space="preserve"> </w:t>
      </w:r>
    </w:p>
    <w:p w:rsidR="00531A04" w:rsidRPr="00256EEC" w:rsidRDefault="00E90A84" w:rsidP="00F1468B">
      <w:pPr>
        <w:pStyle w:val="Ventura-Content"/>
        <w:ind w:firstLine="0"/>
      </w:pPr>
      <w:r>
        <w:rPr>
          <w:rStyle w:val="jlqj4b"/>
          <w:lang w:val="en"/>
        </w:rPr>
        <w:t xml:space="preserve">The profitability ratio measures the company's ability to generate profits or measure the efficiency of the company. The most commonly measured profitability ratio is the return on assets (ROA).  </w:t>
      </w:r>
      <w:r>
        <w:t>It</w:t>
      </w:r>
      <w:r w:rsidRPr="00256EEC">
        <w:t xml:space="preserve"> is a ratio between net income after tax and total assets, which shows the measure of asset productivity in generating profit (</w:t>
      </w:r>
      <w:r w:rsidR="00416192">
        <w:t>Handayani &amp;</w:t>
      </w:r>
      <w:r w:rsidR="00416192" w:rsidRPr="00256EEC">
        <w:t xml:space="preserve"> Zulyanti, 2018</w:t>
      </w:r>
      <w:r w:rsidR="00416192">
        <w:t xml:space="preserve">; </w:t>
      </w:r>
      <w:r w:rsidR="00416192" w:rsidRPr="00256EEC">
        <w:t>Syafirah, 2019</w:t>
      </w:r>
      <w:r w:rsidR="00416192">
        <w:t xml:space="preserve">; </w:t>
      </w:r>
      <w:r w:rsidRPr="00256EEC">
        <w:t>Subramanyam, 2014). ROA analysis is often interpreted as economic profitability, which measures a company's ability to generate profits in the past</w:t>
      </w:r>
      <w:r>
        <w:t xml:space="preserve"> </w:t>
      </w:r>
      <w:r w:rsidRPr="00256EEC">
        <w:t>(R</w:t>
      </w:r>
      <w:r>
        <w:t xml:space="preserve">hamadana </w:t>
      </w:r>
      <w:r w:rsidR="009D4A39">
        <w:t>&amp;</w:t>
      </w:r>
      <w:r>
        <w:t xml:space="preserve"> Triyonowati, 2016).  This ratio</w:t>
      </w:r>
      <w:r w:rsidRPr="00256EEC">
        <w:t xml:space="preserve"> is then projected into the future to see the company's ability to generate profits in the future. ROA can be broken down into two components: profit margin and asset turnover. Profit margin is a measure of a company's efficiency, while asset turnover reflects its ability to generate sales based on specific assets (Su</w:t>
      </w:r>
      <w:r>
        <w:t xml:space="preserve">bramanyam, 2014). The formula of ROA is </w:t>
      </w:r>
      <w:r w:rsidR="008502A0">
        <w:t>the after-</w:t>
      </w:r>
      <w:r>
        <w:t xml:space="preserve">tax </w:t>
      </w:r>
      <w:r w:rsidR="008502A0">
        <w:t xml:space="preserve">profit </w:t>
      </w:r>
      <w:r>
        <w:t>divided</w:t>
      </w:r>
      <w:r w:rsidRPr="00256EEC">
        <w:t xml:space="preserve"> by total assets (Abbas, 2018). </w:t>
      </w:r>
    </w:p>
    <w:p w:rsidR="00F1468B" w:rsidRDefault="00F1468B" w:rsidP="00531A04">
      <w:pPr>
        <w:pStyle w:val="Ventura-Content"/>
        <w:ind w:firstLine="709"/>
      </w:pPr>
    </w:p>
    <w:p w:rsidR="00531A04" w:rsidRPr="00256EEC" w:rsidRDefault="00E90A84" w:rsidP="00531A04">
      <w:pPr>
        <w:pStyle w:val="Ventura-Content"/>
        <w:ind w:firstLine="709"/>
      </w:pPr>
      <w:r>
        <w:rPr>
          <w:rStyle w:val="jlqj4b"/>
          <w:lang w:val="en"/>
        </w:rPr>
        <w:t>The economic crisis undoubtedly harmed the company's ability to generate profits.</w:t>
      </w:r>
      <w:r>
        <w:rPr>
          <w:rStyle w:val="viiyi"/>
          <w:lang w:val="en"/>
        </w:rPr>
        <w:t xml:space="preserve"> </w:t>
      </w:r>
      <w:r>
        <w:rPr>
          <w:rStyle w:val="jlqj4b"/>
          <w:lang w:val="en"/>
        </w:rPr>
        <w:t>The decline in people's purchasing power will reduce the company's demand for products or services.</w:t>
      </w:r>
      <w:r>
        <w:rPr>
          <w:rStyle w:val="viiyi"/>
          <w:lang w:val="en"/>
        </w:rPr>
        <w:t xml:space="preserve"> </w:t>
      </w:r>
      <w:r>
        <w:rPr>
          <w:rStyle w:val="jlqj4b"/>
          <w:lang w:val="en"/>
        </w:rPr>
        <w:t>In the short term, this decline in sales is not accompanied by a decrease in expenses, so that the impact is to reduce company profits.</w:t>
      </w:r>
      <w:r w:rsidR="00E32FCE">
        <w:rPr>
          <w:rStyle w:val="jlqj4b"/>
          <w:lang w:val="en"/>
        </w:rPr>
        <w:t xml:space="preserve"> </w:t>
      </w:r>
      <w:r w:rsidR="00E32FCE">
        <w:t xml:space="preserve">The </w:t>
      </w:r>
      <w:r w:rsidRPr="00256EEC">
        <w:t>Istiningrum (2005) result show</w:t>
      </w:r>
      <w:r w:rsidR="00E32FCE">
        <w:t>s</w:t>
      </w:r>
      <w:r w:rsidRPr="00256EEC">
        <w:t xml:space="preserve"> that </w:t>
      </w:r>
      <w:r w:rsidR="00E32FCE">
        <w:t xml:space="preserve">there is a decrease in </w:t>
      </w:r>
      <w:r w:rsidRPr="00256EEC">
        <w:t xml:space="preserve">the return on assets of service companies </w:t>
      </w:r>
      <w:r w:rsidR="00E32FCE">
        <w:t>during and after the monetary crisis in 1998. This</w:t>
      </w:r>
      <w:r w:rsidRPr="00256EEC">
        <w:t xml:space="preserve"> </w:t>
      </w:r>
      <w:r w:rsidR="00E32FCE">
        <w:t xml:space="preserve">is in line with </w:t>
      </w:r>
      <w:r w:rsidRPr="00256EEC">
        <w:t xml:space="preserve">Rofiqoh (2001), </w:t>
      </w:r>
      <w:r w:rsidR="00E32FCE">
        <w:t>stating</w:t>
      </w:r>
      <w:r w:rsidRPr="00256EEC">
        <w:t xml:space="preserve"> that there was a decline in public companies' profitability on the Jakarta Stock Exchange for all sectors during the crisis.</w:t>
      </w:r>
    </w:p>
    <w:p w:rsidR="00531A04" w:rsidRPr="00256EEC" w:rsidRDefault="00531A04" w:rsidP="00531A04">
      <w:pPr>
        <w:pStyle w:val="Ventura-Content"/>
        <w:ind w:firstLine="0"/>
      </w:pPr>
    </w:p>
    <w:p w:rsidR="00531A04" w:rsidRPr="00256EEC" w:rsidRDefault="00E90A84" w:rsidP="00531A04">
      <w:pPr>
        <w:pStyle w:val="Ventura-Content"/>
        <w:ind w:firstLine="0"/>
        <w:rPr>
          <w:i/>
        </w:rPr>
      </w:pPr>
      <w:r>
        <w:rPr>
          <w:i/>
        </w:rPr>
        <w:t>2.8 Activity</w:t>
      </w:r>
      <w:r w:rsidRPr="00256EEC">
        <w:rPr>
          <w:i/>
        </w:rPr>
        <w:t xml:space="preserve"> Ratio</w:t>
      </w:r>
    </w:p>
    <w:p w:rsidR="00531A04" w:rsidRPr="00256EEC" w:rsidRDefault="00E90A84" w:rsidP="00531A04">
      <w:pPr>
        <w:pStyle w:val="Ventura-Content"/>
        <w:ind w:firstLine="0"/>
      </w:pPr>
      <w:r>
        <w:rPr>
          <w:rStyle w:val="jlqj4b"/>
          <w:lang w:val="en"/>
        </w:rPr>
        <w:t>Activity ratio measures the effectiveness of a company is using its assets to generate sales.</w:t>
      </w:r>
      <w:r>
        <w:rPr>
          <w:rStyle w:val="viiyi"/>
          <w:lang w:val="en"/>
        </w:rPr>
        <w:t xml:space="preserve"> </w:t>
      </w:r>
      <w:r>
        <w:rPr>
          <w:rStyle w:val="jlqj4b"/>
          <w:lang w:val="en"/>
        </w:rPr>
        <w:t>This ratio can be divided into two groups: the ratio of long-term activities and short-term activities.</w:t>
      </w:r>
      <w:r>
        <w:rPr>
          <w:rStyle w:val="viiyi"/>
          <w:lang w:val="en"/>
        </w:rPr>
        <w:t xml:space="preserve"> </w:t>
      </w:r>
      <w:r>
        <w:rPr>
          <w:rStyle w:val="jlqj4b"/>
          <w:lang w:val="en"/>
        </w:rPr>
        <w:t>In the context of the impact of the economic crisis, the short-term activity ratio is more relevant.</w:t>
      </w:r>
      <w:r>
        <w:rPr>
          <w:rStyle w:val="viiyi"/>
          <w:lang w:val="en"/>
        </w:rPr>
        <w:t xml:space="preserve"> </w:t>
      </w:r>
      <w:r>
        <w:rPr>
          <w:rStyle w:val="jlqj4b"/>
          <w:lang w:val="en"/>
        </w:rPr>
        <w:t>The short-term activity ratio consists of inventory turnover and account receivables turnover.</w:t>
      </w:r>
      <w:r>
        <w:rPr>
          <w:rStyle w:val="viiyi"/>
          <w:lang w:val="en"/>
        </w:rPr>
        <w:t xml:space="preserve"> </w:t>
      </w:r>
      <w:r>
        <w:rPr>
          <w:rStyle w:val="jlqj4b"/>
          <w:lang w:val="en"/>
        </w:rPr>
        <w:t>This study uses account receivables to measure activity ratios.</w:t>
      </w:r>
      <w:r w:rsidR="009D4A39">
        <w:rPr>
          <w:rStyle w:val="jlqj4b"/>
          <w:lang w:val="en"/>
        </w:rPr>
        <w:t xml:space="preserve"> </w:t>
      </w:r>
      <w:r w:rsidRPr="00256EEC">
        <w:t xml:space="preserve">According to Fraser and Ormiston (2016), the receivable turnover ratio is used to describe working capital analysis because it can measure how quickly the company's receivables turn into cash. The receivable turnover ratio is a ratio to measure the company's ability to handle credit sales, including its policies. In its operational activities, the company carries out cash sales transactions and sales transactions on credit, resulting in account receivables. Through credit sales facilities for customers, it is expected to boost sales growth, hoping that profits will also increase. The increase in total credit sales will, of course, also be </w:t>
      </w:r>
      <w:r>
        <w:t>accompanied by</w:t>
      </w:r>
      <w:r w:rsidRPr="00256EEC">
        <w:t xml:space="preserve"> an increase in risk for the company. Credit risk due to the emergence of trade receivables will occur when buyers cannot pay or delay payment (Fridson </w:t>
      </w:r>
      <w:r w:rsidR="009D4A39">
        <w:t>&amp;</w:t>
      </w:r>
      <w:r w:rsidRPr="00256EEC">
        <w:t xml:space="preserve"> Alvarez, 2011). Fraser and Ormiston (2016) state that the higher the receivable turnover, the greater the cash to be received and the greater the company's profits. On the other hand, the slower the receivable turnover, the less profitability the company gets (Notta </w:t>
      </w:r>
      <w:r w:rsidR="009D4A39">
        <w:t>&amp;</w:t>
      </w:r>
      <w:r w:rsidRPr="00256EEC">
        <w:t xml:space="preserve"> Vlachvei, 2014). The faster the turnover, the fewer funds invested in accounts receivable. </w:t>
      </w:r>
      <w:r w:rsidR="009D4A39">
        <w:t>M</w:t>
      </w:r>
      <w:r w:rsidRPr="00256EEC">
        <w:t xml:space="preserve">anagement can also find out how many times the funds invested in these receivables revolve in one period. Thus, through this ratio, it can be seen whether the company's activities in the collection </w:t>
      </w:r>
      <w:r w:rsidR="009D4A39">
        <w:t>are effective. The formula of</w:t>
      </w:r>
      <w:r w:rsidRPr="00256EEC">
        <w:t xml:space="preserve"> receivable turnover </w:t>
      </w:r>
      <w:r w:rsidR="009D4A39">
        <w:t>is sales divided by the average account r</w:t>
      </w:r>
      <w:r w:rsidRPr="00256EEC">
        <w:t>eceivables (Abbas, 2018)</w:t>
      </w:r>
    </w:p>
    <w:p w:rsidR="00531A04" w:rsidRPr="00256EEC" w:rsidRDefault="00531A04" w:rsidP="00531A04">
      <w:pPr>
        <w:pStyle w:val="Ventura-Content"/>
        <w:ind w:firstLine="0"/>
      </w:pPr>
    </w:p>
    <w:p w:rsidR="00531A04" w:rsidRPr="00256EEC" w:rsidRDefault="00E90A84" w:rsidP="00531A04">
      <w:pPr>
        <w:pStyle w:val="Ventura-Content"/>
        <w:ind w:firstLine="0"/>
        <w:rPr>
          <w:i/>
        </w:rPr>
      </w:pPr>
      <w:r w:rsidRPr="00256EEC">
        <w:rPr>
          <w:i/>
        </w:rPr>
        <w:t>2.9 Economic Crisis</w:t>
      </w:r>
    </w:p>
    <w:p w:rsidR="005929DD" w:rsidRPr="00256EEC" w:rsidRDefault="00E90A84" w:rsidP="009D4A39">
      <w:pPr>
        <w:pStyle w:val="Ventura-Content"/>
        <w:ind w:firstLine="0"/>
      </w:pPr>
      <w:r w:rsidRPr="00256EEC">
        <w:t xml:space="preserve">The economic crisis in Indonesia in 1998 caused the economy to experience a significant downward contraction of -13.2%. The economic crisis also caused an increase in unemployment and the poverty rate and an increase in government debt, and even Indonesia was almost bankrupt (Adiningsih et al., 2008). Indonesia experienced another economic crisis in 2008. Hariyanto (2020) explained that two main factors </w:t>
      </w:r>
      <w:r w:rsidRPr="00256EEC">
        <w:lastRenderedPageBreak/>
        <w:t>caused the global econom</w:t>
      </w:r>
      <w:r w:rsidR="009D4A39">
        <w:t>ic crisis in 2008. First, t</w:t>
      </w:r>
      <w:r w:rsidRPr="00256EEC">
        <w:t>oo loose monetary policy</w:t>
      </w:r>
      <w:r w:rsidR="009D4A39">
        <w:t xml:space="preserve">. </w:t>
      </w:r>
      <w:r w:rsidRPr="00256EEC">
        <w:t>Apart from low-interest rates, the increasing demand for housing loans was also driven by government policies that encourage homeownership progr</w:t>
      </w:r>
      <w:r w:rsidR="009D4A39">
        <w:t>ams through government agencies. Second, global i</w:t>
      </w:r>
      <w:r w:rsidRPr="00256EEC">
        <w:t>mbalances</w:t>
      </w:r>
      <w:r w:rsidR="009D4A39">
        <w:t xml:space="preserve">. </w:t>
      </w:r>
      <w:r w:rsidR="00256EEC" w:rsidRPr="00256EEC">
        <w:rPr>
          <w:lang w:val="id-ID"/>
        </w:rPr>
        <w:t>There was</w:t>
      </w:r>
      <w:r w:rsidR="00256EEC" w:rsidRPr="00256EEC">
        <w:t xml:space="preserve"> </w:t>
      </w:r>
      <w:r w:rsidR="00256EEC" w:rsidRPr="00256EEC">
        <w:rPr>
          <w:lang w:val="id-ID"/>
        </w:rPr>
        <w:t>a</w:t>
      </w:r>
      <w:r w:rsidRPr="00256EEC">
        <w:t xml:space="preserve"> global saving glut phenomenon</w:t>
      </w:r>
      <w:r w:rsidR="00256EEC" w:rsidRPr="00256EEC">
        <w:rPr>
          <w:lang w:val="id-ID"/>
        </w:rPr>
        <w:t xml:space="preserve">, </w:t>
      </w:r>
      <w:r w:rsidR="00256EEC">
        <w:rPr>
          <w:lang w:val="id-ID"/>
        </w:rPr>
        <w:t>meaning</w:t>
      </w:r>
      <w:r w:rsidRPr="00256EEC">
        <w:t xml:space="preserve"> that many places carried out too intensive saving activities and lack of spending activities. There was an asymmetry in the global financial system where developed countries had sophisticated and complex financial markets different from the countries in the emerging market. </w:t>
      </w:r>
    </w:p>
    <w:p w:rsidR="005929DD" w:rsidRPr="00256EEC" w:rsidRDefault="00E90A84" w:rsidP="005929DD">
      <w:pPr>
        <w:pStyle w:val="Ventura-Content"/>
        <w:ind w:firstLine="709"/>
      </w:pPr>
      <w:r w:rsidRPr="00256EEC">
        <w:t xml:space="preserve">The current COVID 19 pandemic is also having a bad impact on the Indonesian economy. The Organization for Economic Co-operation and Development (OECD) reports that the COVID-19 pandemic has resulted in the threat of a major economic crisis marked by the cessation of production activities in many countries, falling levels of public consumption, loss of consumer confidence, and falling stock exchanges that ultimately lead to uncertainty (OECD, 2020). In the release of Indonesia's economic growth in the first quarter of 2020 issued by the Central Statistics Agency (BPS), it is clear that the Covid-19 Pandemic has caused damage to the Indonesian economy. The growth rate for Indonesia's Gross Domestic Product (GDP) in Q1 2020 was recorded at only 2.97% (year-on-year). This figure is the lowest growth rate since 2001. The Ministry of Finance and Bank Indonesia previously had predicted growth in the range of 4% -5% in Q1 2020. The GDP growth during COVID-19  was much lower than predicted. On the expenditure side, the biggest contraction in GDP was recorded in household consumption expenditure, which worsened by 2.84%, representing the largest contraction in consumption since 1999. The sharp decline in consumer household spending can be attributed to at least two things. First, it is caused by an increase in the number of unemployed, which directly impacts decreasing income and household consumption expenditure. Second, it is caused by an increase in uncertainty due to the Covid-19 pandemic. This increased uncertainty has led to a shift in consumption to precautionary savings by households whose income has not been greatly affected by this pandemic. However, not all sectors in the economy have heterogeneous impacts. </w:t>
      </w:r>
      <w:r w:rsidR="009D4A39">
        <w:t>According to Modjo</w:t>
      </w:r>
      <w:r w:rsidR="009D4A39" w:rsidRPr="00256EEC">
        <w:t xml:space="preserve"> </w:t>
      </w:r>
      <w:r w:rsidR="009D4A39">
        <w:t>(</w:t>
      </w:r>
      <w:r w:rsidR="009D4A39" w:rsidRPr="00256EEC">
        <w:t>2020)</w:t>
      </w:r>
      <w:r w:rsidR="009D4A39">
        <w:t>, s</w:t>
      </w:r>
      <w:r w:rsidRPr="00256EEC">
        <w:t>ome of the sectors severely affected were the transportation sector (1.27% from the previous 7.55%), the construction sector (-2.41%), and the m</w:t>
      </w:r>
      <w:r w:rsidR="009D4A39">
        <w:t>anufacturing industry (-1.47%)</w:t>
      </w:r>
      <w:r w:rsidRPr="00256EEC">
        <w:t>. Various innovations that are more directed at the defense of people's welf</w:t>
      </w:r>
      <w:r w:rsidR="00795CC6">
        <w:t>are are needed during the COVID</w:t>
      </w:r>
      <w:r w:rsidR="00795CC6">
        <w:rPr>
          <w:lang w:val="id-ID"/>
        </w:rPr>
        <w:t>-</w:t>
      </w:r>
      <w:r w:rsidRPr="00256EEC">
        <w:t>19 pandemic because, in the end, the people's purchasing power is better able to help the economy move and save business growth, business profitability, and national economic growth (Mohammed et al., 2021)</w:t>
      </w:r>
    </w:p>
    <w:p w:rsidR="005929DD" w:rsidRPr="00256EEC" w:rsidRDefault="005929DD" w:rsidP="005929DD">
      <w:pPr>
        <w:pStyle w:val="Ventura-Content"/>
        <w:ind w:firstLine="0"/>
      </w:pPr>
    </w:p>
    <w:p w:rsidR="005929DD" w:rsidRPr="00784EF9" w:rsidRDefault="00E90A84" w:rsidP="005929DD">
      <w:pPr>
        <w:pStyle w:val="Ventura-Content"/>
        <w:ind w:firstLine="0"/>
        <w:rPr>
          <w:i/>
        </w:rPr>
      </w:pPr>
      <w:r w:rsidRPr="00784EF9">
        <w:rPr>
          <w:i/>
        </w:rPr>
        <w:t>2.10. Hypothesis Development</w:t>
      </w:r>
    </w:p>
    <w:p w:rsidR="005929DD" w:rsidRPr="00256EEC" w:rsidRDefault="00E90A84" w:rsidP="005929DD">
      <w:pPr>
        <w:pStyle w:val="Ventura-Content"/>
        <w:ind w:firstLine="0"/>
      </w:pPr>
      <w:r>
        <w:t>The COVID</w:t>
      </w:r>
      <w:r>
        <w:rPr>
          <w:lang w:val="id-ID"/>
        </w:rPr>
        <w:t>-</w:t>
      </w:r>
      <w:r w:rsidR="00531A04" w:rsidRPr="00256EEC">
        <w:t>19 pandemic has harmed the country's economy. World Bank Managing Director</w:t>
      </w:r>
      <w:r w:rsidR="009D4A39">
        <w:t>,</w:t>
      </w:r>
      <w:r w:rsidR="00531A04" w:rsidRPr="00256EEC">
        <w:t xml:space="preserve"> Mari Elka Pangestu</w:t>
      </w:r>
      <w:r w:rsidR="009D4A39">
        <w:t>,</w:t>
      </w:r>
      <w:r w:rsidR="00531A04" w:rsidRPr="00256EEC">
        <w:t xml:space="preserve"> estimated that Indonesia's economic growth could weaken below 5% in the first quarter of 2020 (Burhanuddin </w:t>
      </w:r>
      <w:r w:rsidR="009D4A39">
        <w:t>&amp;</w:t>
      </w:r>
      <w:r w:rsidR="00531A04" w:rsidRPr="00256EEC">
        <w:t xml:space="preserve"> Abdi, 2020). The financial performance of the industrial sector will also certainly be affected by the economic crisis. However, company management still has to strive to pay attention to stakeholder interests by disclosing its financial situation. Based on stakeholder theory, company management must always provide information related to the company's activities, including its financial condition, to stakeholders for the benefit of these stakeholders. Whatever the case, the company's condition must be disclosed to stakeholders to maintain company transparency. Companies must uphold the value of responsibility and accountability for their stakeholders (Nur </w:t>
      </w:r>
      <w:r w:rsidR="009D4A39">
        <w:t>&amp;</w:t>
      </w:r>
      <w:r w:rsidR="00531A04" w:rsidRPr="00256EEC">
        <w:t xml:space="preserve"> Priantinah, 2012). This economic crisis will certainly lead to a decline in industrial sector sales due to decreased purchasing power (Wijayangka, 2014). If sales in the industrial sector experienced a decrease during the economic crisis due to the COVID 19 pandemic, this would certainly affect the company's financial condition in general, including the value of the company's current assets. The components of current assets that are significantly affected by sales changes are the cash component resulting from cash sales and the value of trade receivables as a result of credit sales. When current assets experience significant changes, this will ultimately affect the value of the current ratio. Bintang et al. (2019) show differences in financial performance, including the current ratio in the period before and after </w:t>
      </w:r>
      <w:r w:rsidR="009D4A39">
        <w:t>the monetary crisis. The result</w:t>
      </w:r>
      <w:r w:rsidR="00531A04" w:rsidRPr="00256EEC">
        <w:t xml:space="preserve"> of Istiningru</w:t>
      </w:r>
      <w:r w:rsidR="00784EF9">
        <w:t xml:space="preserve">m (2005) also </w:t>
      </w:r>
      <w:r w:rsidR="009D4A39">
        <w:rPr>
          <w:lang w:val="id-ID"/>
        </w:rPr>
        <w:t>shows</w:t>
      </w:r>
      <w:r w:rsidR="00784EF9">
        <w:t xml:space="preserve"> that there </w:t>
      </w:r>
      <w:r w:rsidR="00784EF9">
        <w:rPr>
          <w:lang w:val="id-ID"/>
        </w:rPr>
        <w:t>was</w:t>
      </w:r>
      <w:r w:rsidR="00531A04" w:rsidRPr="00256EEC">
        <w:t xml:space="preserve"> a significant decrease in </w:t>
      </w:r>
      <w:r w:rsidR="006A1D75">
        <w:t xml:space="preserve">a firm's liquidity ratios, measured using </w:t>
      </w:r>
      <w:r w:rsidR="00531A04" w:rsidRPr="00256EEC">
        <w:t>the current ratio</w:t>
      </w:r>
      <w:r w:rsidR="006A1D75">
        <w:t>,</w:t>
      </w:r>
      <w:r w:rsidR="00531A04" w:rsidRPr="00256EEC">
        <w:t xml:space="preserve"> during </w:t>
      </w:r>
      <w:r w:rsidR="00784EF9">
        <w:t>the monetary crisis. The</w:t>
      </w:r>
      <w:r w:rsidR="006A1D75">
        <w:t>refore,</w:t>
      </w:r>
      <w:r w:rsidR="00784EF9">
        <w:t xml:space="preserve"> </w:t>
      </w:r>
      <w:r w:rsidR="006A1D75">
        <w:t xml:space="preserve">the </w:t>
      </w:r>
      <w:r w:rsidR="00784EF9">
        <w:t xml:space="preserve">first </w:t>
      </w:r>
      <w:r w:rsidR="00784EF9">
        <w:rPr>
          <w:lang w:val="id-ID"/>
        </w:rPr>
        <w:t>hypothesis</w:t>
      </w:r>
      <w:r w:rsidR="00531A04" w:rsidRPr="00256EEC">
        <w:t xml:space="preserve"> can be formulated as follows:</w:t>
      </w:r>
    </w:p>
    <w:p w:rsidR="009D4A39" w:rsidRDefault="009D4A39" w:rsidP="009D4A39">
      <w:pPr>
        <w:pStyle w:val="Ventura-Content"/>
        <w:ind w:firstLine="0"/>
        <w:rPr>
          <w:i/>
        </w:rPr>
      </w:pPr>
    </w:p>
    <w:p w:rsidR="005929DD" w:rsidRPr="00784EF9" w:rsidRDefault="00E90A84" w:rsidP="009D4A39">
      <w:pPr>
        <w:pStyle w:val="Ventura-Content"/>
        <w:ind w:left="450" w:hanging="450"/>
        <w:rPr>
          <w:i/>
        </w:rPr>
      </w:pPr>
      <w:r>
        <w:rPr>
          <w:i/>
        </w:rPr>
        <w:t>H1: The COVID</w:t>
      </w:r>
      <w:r>
        <w:rPr>
          <w:i/>
          <w:lang w:val="id-ID"/>
        </w:rPr>
        <w:t>-</w:t>
      </w:r>
      <w:r w:rsidR="00531A04" w:rsidRPr="00784EF9">
        <w:rPr>
          <w:i/>
        </w:rPr>
        <w:t xml:space="preserve">19 pandemic has a negative effect on the </w:t>
      </w:r>
      <w:r w:rsidR="00F437D4">
        <w:rPr>
          <w:i/>
        </w:rPr>
        <w:t>liquidity</w:t>
      </w:r>
      <w:r w:rsidR="009D4A39">
        <w:rPr>
          <w:i/>
        </w:rPr>
        <w:t xml:space="preserve">, measured using </w:t>
      </w:r>
      <w:r w:rsidR="00531A04" w:rsidRPr="00784EF9">
        <w:rPr>
          <w:i/>
        </w:rPr>
        <w:t>the current ratio</w:t>
      </w:r>
    </w:p>
    <w:p w:rsidR="00795CC6" w:rsidRDefault="00795CC6" w:rsidP="005929DD">
      <w:pPr>
        <w:pStyle w:val="Ventura-Content"/>
        <w:ind w:firstLine="709"/>
        <w:rPr>
          <w:lang w:val="id-ID"/>
        </w:rPr>
      </w:pPr>
    </w:p>
    <w:p w:rsidR="005929DD" w:rsidRPr="00256EEC" w:rsidRDefault="00E90A84" w:rsidP="005929DD">
      <w:pPr>
        <w:pStyle w:val="Ventura-Content"/>
        <w:ind w:firstLine="709"/>
      </w:pPr>
      <w:r w:rsidRPr="00256EEC">
        <w:t xml:space="preserve">A significant decrease in sales will certainly affect company profits and cash received on cash sales </w:t>
      </w:r>
      <w:r w:rsidRPr="00256EEC">
        <w:lastRenderedPageBreak/>
        <w:t xml:space="preserve">transactions. This condition will profoundly impact the company's ability to pay its debts due to the unavailability of cash to make debt payments. Besides, the capital value will also decrease due to losses experienced by the company due to decreased sales. Minimal income from sales will certainly reduce the company's ability to cover all operational costs incurred to suffer losses. </w:t>
      </w:r>
      <w:r w:rsidR="009D4A39">
        <w:t xml:space="preserve">Istiningrum (2005) </w:t>
      </w:r>
      <w:r w:rsidRPr="00256EEC">
        <w:t>show</w:t>
      </w:r>
      <w:r w:rsidR="009D4A39">
        <w:t>s</w:t>
      </w:r>
      <w:r w:rsidRPr="00256EEC">
        <w:t xml:space="preserve"> that the global crisis hurts the </w:t>
      </w:r>
      <w:r w:rsidR="006A1D75">
        <w:t>leverage ratio, measured using debt to equity ratio (DER). Rofiqoh (2001) states</w:t>
      </w:r>
      <w:r w:rsidRPr="00256EEC">
        <w:t xml:space="preserve"> that an increase in the DER number indicated the decline in public companies' financial performance on the Jakarta Stock Exchange during the crisis compared to before the crisis. This shows that the long-term risk of public companies on the Jakarta Stock Exchange increases when the monetary crisis occurs because there is uncertainty in long-term performance, especially the many uncontrollable costs, including interest costs. Hakim (2012) also found a significant difference in the DER value between before and after the crisis. Also, the increase in DER value can be triggered by a decrease in the capital structure (equity) from the management or investors due to concerns about the impact of the crisis on decreasing company earnings, which are very risky for shareholders. A decrease in the capital structure (equity) that comes from the management or investors can impact decreasing operational effectiveness and efficiency, which in turn has an impact on the company's ove</w:t>
      </w:r>
      <w:r w:rsidR="006A1D75">
        <w:t>rall performance</w:t>
      </w:r>
      <w:r w:rsidRPr="00256EEC">
        <w:t>. The second hypothesis can be formulated as follows:</w:t>
      </w:r>
    </w:p>
    <w:p w:rsidR="006A1D75" w:rsidRDefault="006A1D75" w:rsidP="006A1D75">
      <w:pPr>
        <w:pStyle w:val="Ventura-Content"/>
        <w:ind w:firstLine="0"/>
        <w:rPr>
          <w:i/>
        </w:rPr>
      </w:pPr>
    </w:p>
    <w:p w:rsidR="005929DD" w:rsidRPr="00784EF9" w:rsidRDefault="00E90A84" w:rsidP="006A1D75">
      <w:pPr>
        <w:pStyle w:val="Ventura-Content"/>
        <w:ind w:firstLine="0"/>
        <w:rPr>
          <w:i/>
        </w:rPr>
      </w:pPr>
      <w:r>
        <w:rPr>
          <w:i/>
        </w:rPr>
        <w:t>H2: The COVID</w:t>
      </w:r>
      <w:r>
        <w:rPr>
          <w:i/>
          <w:lang w:val="id-ID"/>
        </w:rPr>
        <w:t>-</w:t>
      </w:r>
      <w:r w:rsidR="00531A04" w:rsidRPr="00784EF9">
        <w:rPr>
          <w:i/>
        </w:rPr>
        <w:t xml:space="preserve">19 pandemic has a negative effect on the </w:t>
      </w:r>
      <w:r w:rsidR="00F437D4">
        <w:rPr>
          <w:i/>
        </w:rPr>
        <w:t>leverage, measured using debt to equity ratio.</w:t>
      </w:r>
    </w:p>
    <w:p w:rsidR="00795CC6" w:rsidRDefault="00795CC6" w:rsidP="005929DD">
      <w:pPr>
        <w:pStyle w:val="Ventura-Content"/>
        <w:ind w:firstLine="709"/>
        <w:rPr>
          <w:lang w:val="id-ID"/>
        </w:rPr>
      </w:pPr>
    </w:p>
    <w:p w:rsidR="005929DD" w:rsidRDefault="00E90A84" w:rsidP="005929DD">
      <w:pPr>
        <w:pStyle w:val="Ventura-Content"/>
        <w:ind w:firstLine="709"/>
      </w:pPr>
      <w:r w:rsidRPr="00256EEC">
        <w:t xml:space="preserve">During the monetary crisis, net income decreased significantly </w:t>
      </w:r>
      <w:r w:rsidR="00784EF9">
        <w:t xml:space="preserve">due to weakening people's </w:t>
      </w:r>
      <w:r w:rsidR="00784EF9">
        <w:rPr>
          <w:lang w:val="id-ID"/>
        </w:rPr>
        <w:t>purchasing</w:t>
      </w:r>
      <w:r w:rsidRPr="00256EEC">
        <w:t xml:space="preserve"> power and i</w:t>
      </w:r>
      <w:r w:rsidR="006A1D75">
        <w:t>ncreased interest costs, so that a firm's profitability</w:t>
      </w:r>
      <w:r w:rsidRPr="00256EEC">
        <w:t xml:space="preserve"> decreased sig</w:t>
      </w:r>
      <w:r w:rsidR="00795CC6">
        <w:t xml:space="preserve">nificantly. When people's </w:t>
      </w:r>
      <w:r w:rsidR="00795CC6">
        <w:rPr>
          <w:lang w:val="id-ID"/>
        </w:rPr>
        <w:t>purchasing</w:t>
      </w:r>
      <w:r w:rsidRPr="00256EEC">
        <w:t xml:space="preserve"> power decreases, it will certainly impact the company's total sales. When the company's sales decline, its profit will also decrease if the company is unable to minimize operating costs incurred. The results </w:t>
      </w:r>
      <w:r w:rsidR="006A1D75">
        <w:t xml:space="preserve">of </w:t>
      </w:r>
      <w:r w:rsidRPr="00256EEC">
        <w:t xml:space="preserve">Istiningrum (2005) show that the </w:t>
      </w:r>
      <w:r w:rsidR="006A1D75">
        <w:t xml:space="preserve">profitability ratio, measured using </w:t>
      </w:r>
      <w:r w:rsidRPr="00256EEC">
        <w:t>returns on assets (ROA)</w:t>
      </w:r>
      <w:r w:rsidR="006A1D75">
        <w:t>,</w:t>
      </w:r>
      <w:r w:rsidRPr="00256EEC">
        <w:t xml:space="preserve"> of service companies before the monetary crisis and during the monetary crisis differ significantly, where there is a de</w:t>
      </w:r>
      <w:r w:rsidR="006A1D75">
        <w:t>crease in the average ratio. Rofiqoh (2001) also states</w:t>
      </w:r>
      <w:r w:rsidRPr="00256EEC">
        <w:t xml:space="preserve"> that there was a decline in public companies' financial performance on the Jakarta Stock Exchange for all sectors during the crisis, especially at the level of ability to generate profits, as indicated by a significant decrease in ROA. </w:t>
      </w:r>
      <w:r w:rsidR="006A1D75">
        <w:t>Besides,</w:t>
      </w:r>
      <w:r w:rsidRPr="00256EEC">
        <w:t xml:space="preserve"> Shen et al. (2020) show that the COVID 19 pandemic has a significant negative impact on listed Chinese companies' performance due to a decrease in the value of total revenue, which affects reducing ROA. The third hypothesis can be formulated as follows: </w:t>
      </w:r>
    </w:p>
    <w:p w:rsidR="006A1D75" w:rsidRDefault="006A1D75" w:rsidP="006A1D75">
      <w:pPr>
        <w:pStyle w:val="Ventura-Content"/>
        <w:ind w:firstLine="0"/>
      </w:pPr>
    </w:p>
    <w:p w:rsidR="005929DD" w:rsidRPr="00795CC6" w:rsidRDefault="00E90A84" w:rsidP="006A1D75">
      <w:pPr>
        <w:pStyle w:val="Ventura-Content"/>
        <w:ind w:firstLine="0"/>
        <w:rPr>
          <w:i/>
        </w:rPr>
      </w:pPr>
      <w:r>
        <w:rPr>
          <w:i/>
        </w:rPr>
        <w:t>H3: The COVID</w:t>
      </w:r>
      <w:r>
        <w:rPr>
          <w:i/>
          <w:lang w:val="id-ID"/>
        </w:rPr>
        <w:t>-</w:t>
      </w:r>
      <w:r w:rsidR="00531A04" w:rsidRPr="00795CC6">
        <w:rPr>
          <w:i/>
        </w:rPr>
        <w:t>19 pandemic has a negative effect on profitability</w:t>
      </w:r>
      <w:r w:rsidR="00F437D4">
        <w:rPr>
          <w:i/>
        </w:rPr>
        <w:t>, measured using return on assets</w:t>
      </w:r>
      <w:r w:rsidR="00531A04" w:rsidRPr="00795CC6">
        <w:rPr>
          <w:i/>
        </w:rPr>
        <w:t>.</w:t>
      </w:r>
    </w:p>
    <w:p w:rsidR="00795CC6" w:rsidRDefault="00795CC6" w:rsidP="005929DD">
      <w:pPr>
        <w:pStyle w:val="Ventura-Content"/>
        <w:ind w:firstLine="709"/>
        <w:rPr>
          <w:lang w:val="id-ID"/>
        </w:rPr>
      </w:pPr>
    </w:p>
    <w:p w:rsidR="005929DD" w:rsidRPr="00256EEC" w:rsidRDefault="00E90A84" w:rsidP="005929DD">
      <w:pPr>
        <w:pStyle w:val="Ventura-Content"/>
        <w:ind w:firstLine="709"/>
      </w:pPr>
      <w:r w:rsidRPr="006A1D75">
        <w:t>The current economic crisis during the COVID-19 will certainly impact decreasing peo</w:t>
      </w:r>
      <w:r w:rsidRPr="00256EEC">
        <w:t>ple's income, especially for people who work in the tourism and transportation sectors. The decline in community income will decrease people's purchasing power because public financial governance will focus on meeting primary needs. This condition will certainly have a wider impact on the industrial sector, particularly a decre</w:t>
      </w:r>
      <w:r w:rsidR="00795CC6">
        <w:t xml:space="preserve">ase in sales figures, in which </w:t>
      </w:r>
      <w:r w:rsidRPr="00256EEC">
        <w:t xml:space="preserve">there is no more potential target market. This condition also causes a higher level of credit risk faced by the industrial sector because buyers or service users or customers </w:t>
      </w:r>
      <w:r w:rsidR="00587B0D">
        <w:t>decline in their</w:t>
      </w:r>
      <w:r w:rsidR="003928B5">
        <w:t xml:space="preserve"> </w:t>
      </w:r>
      <w:r w:rsidRPr="00256EEC">
        <w:t xml:space="preserve">ability to pay debts to companies during </w:t>
      </w:r>
      <w:r w:rsidR="00587B0D">
        <w:t>the economic crisis (Fridson &amp;</w:t>
      </w:r>
      <w:r w:rsidRPr="00256EEC">
        <w:t xml:space="preserve"> Alvarez, 2011). The decline in sales, which is not accompanied by a decrease in average receivables, will certainly impact the decline in receivable turnover value. The high level of funds embedded in trade receivables </w:t>
      </w:r>
      <w:r w:rsidR="00587B0D">
        <w:t>will lead to a</w:t>
      </w:r>
      <w:r w:rsidRPr="00256EEC">
        <w:t xml:space="preserve"> slow turnover of accounts receivable (Notta </w:t>
      </w:r>
      <w:r w:rsidR="00587B0D">
        <w:t>&amp;</w:t>
      </w:r>
      <w:r w:rsidRPr="00256EEC">
        <w:t xml:space="preserve"> Vlachvei, 2014). The</w:t>
      </w:r>
      <w:r w:rsidR="00587B0D">
        <w:t>refore, the</w:t>
      </w:r>
      <w:r w:rsidRPr="00256EEC">
        <w:t xml:space="preserve"> fourth hypothesis can be formulated as follows:</w:t>
      </w:r>
    </w:p>
    <w:p w:rsidR="00587B0D" w:rsidRDefault="00587B0D" w:rsidP="00587B0D">
      <w:pPr>
        <w:pStyle w:val="Ventura-Content"/>
        <w:ind w:firstLine="0"/>
        <w:rPr>
          <w:i/>
        </w:rPr>
      </w:pPr>
    </w:p>
    <w:p w:rsidR="005929DD" w:rsidRPr="00795CC6" w:rsidRDefault="00E90A84" w:rsidP="00587B0D">
      <w:pPr>
        <w:pStyle w:val="Ventura-Content"/>
        <w:ind w:left="360" w:hanging="360"/>
        <w:rPr>
          <w:i/>
        </w:rPr>
      </w:pPr>
      <w:r w:rsidRPr="00795CC6">
        <w:rPr>
          <w:i/>
        </w:rPr>
        <w:t>H4: The COVID-19 pandemic has a negative effect on the activity ratio</w:t>
      </w:r>
      <w:r w:rsidR="00F437D4">
        <w:rPr>
          <w:i/>
        </w:rPr>
        <w:t>, measured using receivables turnover</w:t>
      </w:r>
      <w:r w:rsidRPr="00795CC6">
        <w:rPr>
          <w:i/>
        </w:rPr>
        <w:t>.</w:t>
      </w:r>
    </w:p>
    <w:p w:rsidR="005929DD" w:rsidRPr="00256EEC" w:rsidRDefault="005929DD" w:rsidP="005929DD">
      <w:pPr>
        <w:pStyle w:val="Ventura-Content"/>
        <w:ind w:firstLine="0"/>
      </w:pPr>
    </w:p>
    <w:p w:rsidR="005929DD" w:rsidRPr="00256EEC" w:rsidRDefault="00E90A84" w:rsidP="005929DD">
      <w:pPr>
        <w:pStyle w:val="Ventura-Content"/>
        <w:ind w:firstLine="0"/>
        <w:rPr>
          <w:b/>
        </w:rPr>
      </w:pPr>
      <w:r w:rsidRPr="00256EEC">
        <w:rPr>
          <w:b/>
          <w:lang w:eastAsia="id-ID"/>
        </w:rPr>
        <w:t>3. RESEARCH METHOD</w:t>
      </w:r>
    </w:p>
    <w:p w:rsidR="005929DD" w:rsidRPr="00256EEC" w:rsidRDefault="00E90A84" w:rsidP="005929DD">
      <w:pPr>
        <w:pStyle w:val="Ventura-Content"/>
        <w:ind w:firstLine="0"/>
        <w:rPr>
          <w:b/>
        </w:rPr>
      </w:pPr>
      <w:r w:rsidRPr="00256EEC">
        <w:rPr>
          <w:color w:val="000000"/>
          <w:szCs w:val="20"/>
        </w:rPr>
        <w:t xml:space="preserve">The </w:t>
      </w:r>
      <w:r w:rsidR="00795CC6">
        <w:rPr>
          <w:color w:val="000000"/>
          <w:szCs w:val="20"/>
          <w:lang w:val="id-ID"/>
        </w:rPr>
        <w:t xml:space="preserve">research </w:t>
      </w:r>
      <w:r w:rsidR="00795CC6">
        <w:rPr>
          <w:color w:val="000000"/>
          <w:szCs w:val="20"/>
        </w:rPr>
        <w:t>method used</w:t>
      </w:r>
      <w:r w:rsidR="00795CC6">
        <w:rPr>
          <w:color w:val="000000"/>
          <w:szCs w:val="20"/>
          <w:lang w:val="id-ID"/>
        </w:rPr>
        <w:t xml:space="preserve"> </w:t>
      </w:r>
      <w:r w:rsidR="00CF177D">
        <w:rPr>
          <w:color w:val="000000"/>
          <w:szCs w:val="20"/>
          <w:lang w:val="id-ID"/>
        </w:rPr>
        <w:t>was</w:t>
      </w:r>
      <w:r w:rsidRPr="00256EEC">
        <w:rPr>
          <w:color w:val="000000"/>
          <w:szCs w:val="20"/>
        </w:rPr>
        <w:t xml:space="preserve"> the quantitative method. Based on the source, the data used in this re</w:t>
      </w:r>
      <w:r w:rsidR="00CF177D">
        <w:rPr>
          <w:color w:val="000000"/>
          <w:szCs w:val="20"/>
        </w:rPr>
        <w:t xml:space="preserve">search </w:t>
      </w:r>
      <w:r w:rsidR="00CF177D">
        <w:rPr>
          <w:color w:val="000000"/>
          <w:szCs w:val="20"/>
          <w:lang w:val="id-ID"/>
        </w:rPr>
        <w:t>were</w:t>
      </w:r>
      <w:r w:rsidRPr="00256EEC">
        <w:rPr>
          <w:color w:val="000000"/>
          <w:szCs w:val="20"/>
        </w:rPr>
        <w:t xml:space="preserve"> sec</w:t>
      </w:r>
      <w:r w:rsidR="00CF177D">
        <w:rPr>
          <w:color w:val="000000"/>
          <w:szCs w:val="20"/>
        </w:rPr>
        <w:t xml:space="preserve">ondary data, which </w:t>
      </w:r>
      <w:r w:rsidR="00CF177D">
        <w:rPr>
          <w:color w:val="000000"/>
          <w:szCs w:val="20"/>
          <w:lang w:val="id-ID"/>
        </w:rPr>
        <w:t>were</w:t>
      </w:r>
      <w:r w:rsidRPr="00256EEC">
        <w:rPr>
          <w:color w:val="000000"/>
          <w:szCs w:val="20"/>
        </w:rPr>
        <w:t xml:space="preserve"> first processed and collected by other organizations or parties. </w:t>
      </w:r>
      <w:r w:rsidR="00CF177D">
        <w:rPr>
          <w:color w:val="000000"/>
          <w:szCs w:val="20"/>
          <w:lang w:val="id-ID"/>
        </w:rPr>
        <w:t xml:space="preserve"> This study's secondary</w:t>
      </w:r>
      <w:r w:rsidR="00CF177D">
        <w:rPr>
          <w:color w:val="000000"/>
          <w:szCs w:val="20"/>
        </w:rPr>
        <w:t xml:space="preserve"> data </w:t>
      </w:r>
      <w:r w:rsidR="00CF177D">
        <w:rPr>
          <w:color w:val="000000"/>
          <w:szCs w:val="20"/>
          <w:lang w:val="id-ID"/>
        </w:rPr>
        <w:t>were</w:t>
      </w:r>
      <w:r w:rsidR="00CF177D">
        <w:rPr>
          <w:color w:val="000000"/>
          <w:szCs w:val="20"/>
        </w:rPr>
        <w:t xml:space="preserve"> financial reports</w:t>
      </w:r>
      <w:r w:rsidRPr="00256EEC">
        <w:rPr>
          <w:color w:val="000000"/>
          <w:szCs w:val="20"/>
        </w:rPr>
        <w:t xml:space="preserve"> for the second quarter of 2019 and the second quarter of 2020 of companies listed on the I</w:t>
      </w:r>
      <w:r w:rsidR="00CF177D">
        <w:rPr>
          <w:color w:val="000000"/>
          <w:szCs w:val="20"/>
        </w:rPr>
        <w:t xml:space="preserve">ndonesia Stock Exchange. The financial reports </w:t>
      </w:r>
      <w:r w:rsidR="00CF177D">
        <w:rPr>
          <w:color w:val="000000"/>
          <w:szCs w:val="20"/>
          <w:lang w:val="id-ID"/>
        </w:rPr>
        <w:t>were</w:t>
      </w:r>
      <w:r w:rsidRPr="00256EEC">
        <w:rPr>
          <w:color w:val="000000"/>
          <w:szCs w:val="20"/>
        </w:rPr>
        <w:t xml:space="preserve"> obtained from the official IDX website by accessing the website </w:t>
      </w:r>
      <w:hyperlink r:id="rId16" w:history="1">
        <w:r w:rsidRPr="00256EEC">
          <w:rPr>
            <w:rStyle w:val="Hyperlink"/>
            <w:szCs w:val="20"/>
          </w:rPr>
          <w:t>https://www.idx.co.id/</w:t>
        </w:r>
      </w:hyperlink>
      <w:r w:rsidRPr="00256EEC">
        <w:rPr>
          <w:color w:val="000000"/>
          <w:szCs w:val="20"/>
        </w:rPr>
        <w:t>.</w:t>
      </w:r>
    </w:p>
    <w:p w:rsidR="005929DD" w:rsidRPr="00256EEC" w:rsidRDefault="005929DD" w:rsidP="005929DD">
      <w:pPr>
        <w:pStyle w:val="Ventura-Content"/>
        <w:ind w:firstLine="0"/>
        <w:rPr>
          <w:b/>
        </w:rPr>
      </w:pPr>
    </w:p>
    <w:p w:rsidR="005929DD" w:rsidRPr="00587B0D" w:rsidRDefault="00E90A84" w:rsidP="005929DD">
      <w:pPr>
        <w:pStyle w:val="Ventura-Content"/>
        <w:ind w:firstLine="0"/>
        <w:rPr>
          <w:b/>
          <w:i/>
        </w:rPr>
      </w:pPr>
      <w:r w:rsidRPr="00587B0D">
        <w:rPr>
          <w:b/>
          <w:i/>
          <w:color w:val="000000"/>
          <w:szCs w:val="20"/>
        </w:rPr>
        <w:t xml:space="preserve">Population and Sample  </w:t>
      </w:r>
    </w:p>
    <w:p w:rsidR="005929DD" w:rsidRPr="00256EEC" w:rsidRDefault="00E90A84" w:rsidP="005929DD">
      <w:pPr>
        <w:pStyle w:val="Ventura-Content"/>
        <w:ind w:firstLine="0"/>
        <w:rPr>
          <w:b/>
        </w:rPr>
      </w:pPr>
      <w:r w:rsidRPr="00256EEC">
        <w:rPr>
          <w:color w:val="000000"/>
          <w:szCs w:val="20"/>
        </w:rPr>
        <w:lastRenderedPageBreak/>
        <w:t>The population of this study was companies listed on the IDX in 2019 and remained registered until the second quarter of 2020, when secondary data was collected. The population also included companies with financial report data for the second quarter of 2019 until the second quarter of 2020. Based on this pr</w:t>
      </w:r>
      <w:r w:rsidR="00CF177D">
        <w:rPr>
          <w:color w:val="000000"/>
          <w:szCs w:val="20"/>
        </w:rPr>
        <w:t xml:space="preserve">ovision, the total population </w:t>
      </w:r>
      <w:r w:rsidR="00CF177D">
        <w:rPr>
          <w:color w:val="000000"/>
          <w:szCs w:val="20"/>
          <w:lang w:val="id-ID"/>
        </w:rPr>
        <w:t>was</w:t>
      </w:r>
      <w:r w:rsidR="00CF177D">
        <w:rPr>
          <w:color w:val="000000"/>
          <w:szCs w:val="20"/>
        </w:rPr>
        <w:t xml:space="preserve"> 463 public companies, which </w:t>
      </w:r>
      <w:r w:rsidR="00CF177D">
        <w:rPr>
          <w:color w:val="000000"/>
          <w:szCs w:val="20"/>
          <w:lang w:val="id-ID"/>
        </w:rPr>
        <w:t>were</w:t>
      </w:r>
      <w:r w:rsidRPr="00256EEC">
        <w:rPr>
          <w:color w:val="000000"/>
          <w:szCs w:val="20"/>
        </w:rPr>
        <w:t xml:space="preserve"> divided </w:t>
      </w:r>
      <w:r w:rsidR="00CF177D">
        <w:rPr>
          <w:color w:val="000000"/>
          <w:szCs w:val="20"/>
          <w:lang w:val="id-ID"/>
        </w:rPr>
        <w:t xml:space="preserve">proportionally </w:t>
      </w:r>
      <w:r w:rsidRPr="00256EEC">
        <w:rPr>
          <w:color w:val="000000"/>
          <w:szCs w:val="20"/>
        </w:rPr>
        <w:t>into nine sectors or 49 sub-s</w:t>
      </w:r>
      <w:r w:rsidR="00CF177D">
        <w:rPr>
          <w:color w:val="000000"/>
          <w:szCs w:val="20"/>
        </w:rPr>
        <w:t xml:space="preserve">ectors. The nine sectors </w:t>
      </w:r>
      <w:r w:rsidR="00CF177D">
        <w:rPr>
          <w:color w:val="000000"/>
          <w:szCs w:val="20"/>
          <w:lang w:val="id-ID"/>
        </w:rPr>
        <w:t>included</w:t>
      </w:r>
      <w:r w:rsidRPr="00256EEC">
        <w:rPr>
          <w:color w:val="000000"/>
          <w:szCs w:val="20"/>
        </w:rPr>
        <w:t>: 1) agriculture, 2) mining, 3) basic industry and chemicals, 4) miscellaneous industry, 5) consumer goods industry, 6) property, real estate, and building construction, infrastructure, 7) utilities and transportation, 8) finance, and 9) trade, service, and investment.</w:t>
      </w:r>
    </w:p>
    <w:p w:rsidR="005929DD" w:rsidRDefault="00E90A84" w:rsidP="005929DD">
      <w:pPr>
        <w:pStyle w:val="Ventura-Content"/>
        <w:ind w:firstLine="709"/>
        <w:rPr>
          <w:color w:val="000000"/>
          <w:szCs w:val="20"/>
          <w:lang w:val="id-ID"/>
        </w:rPr>
      </w:pPr>
      <w:r w:rsidRPr="00256EEC">
        <w:rPr>
          <w:color w:val="000000"/>
          <w:szCs w:val="20"/>
        </w:rPr>
        <w:t>The number of samples was determined using a statistical approach, that is, by using the Slovin formula to avoid subjectivity in determining the number of</w:t>
      </w:r>
      <w:r w:rsidR="00CF177D">
        <w:rPr>
          <w:color w:val="000000"/>
          <w:szCs w:val="20"/>
        </w:rPr>
        <w:t xml:space="preserve"> samples. The error rate used </w:t>
      </w:r>
      <w:r w:rsidR="00CF177D">
        <w:rPr>
          <w:color w:val="000000"/>
          <w:szCs w:val="20"/>
          <w:lang w:val="id-ID"/>
        </w:rPr>
        <w:t>was</w:t>
      </w:r>
      <w:r w:rsidRPr="00256EEC">
        <w:rPr>
          <w:color w:val="000000"/>
          <w:szCs w:val="20"/>
        </w:rPr>
        <w:t xml:space="preserve"> 5%, with a confidence level of the sample to the population of 95%. </w:t>
      </w:r>
    </w:p>
    <w:p w:rsidR="004D251E" w:rsidRPr="004D251E" w:rsidRDefault="004D251E" w:rsidP="005929DD">
      <w:pPr>
        <w:pStyle w:val="Ventura-Content"/>
        <w:ind w:firstLine="709"/>
        <w:rPr>
          <w:b/>
          <w:lang w:val="id-ID"/>
        </w:rPr>
      </w:pPr>
    </w:p>
    <w:p w:rsidR="005929DD" w:rsidRPr="004D251E" w:rsidRDefault="00E90A84" w:rsidP="005929DD">
      <w:pPr>
        <w:pStyle w:val="Ventura-Content"/>
        <w:ind w:firstLine="0"/>
        <w:rPr>
          <w:b/>
          <w:lang w:val="id-ID"/>
        </w:rPr>
      </w:pPr>
      <w:r w:rsidRPr="00256EEC">
        <w:rPr>
          <w:b/>
        </w:rPr>
        <w:tab/>
      </w:r>
      <m:oMath>
        <m:r>
          <w:rPr>
            <w:rFonts w:ascii="Cambria Math" w:hAnsi="Cambria Math"/>
            <w:szCs w:val="20"/>
          </w:rPr>
          <m:t>n=</m:t>
        </m:r>
        <m:f>
          <m:fPr>
            <m:ctrlPr>
              <w:rPr>
                <w:rFonts w:ascii="Cambria Math" w:hAnsi="Cambria Math"/>
                <w:i/>
                <w:szCs w:val="20"/>
              </w:rPr>
            </m:ctrlPr>
          </m:fPr>
          <m:num>
            <m:r>
              <w:rPr>
                <w:rFonts w:ascii="Cambria Math" w:hAnsi="Cambria Math"/>
                <w:szCs w:val="20"/>
              </w:rPr>
              <m:t>N</m:t>
            </m:r>
          </m:num>
          <m:den>
            <m:r>
              <w:rPr>
                <w:rFonts w:ascii="Cambria Math" w:hAnsi="Cambria Math"/>
                <w:szCs w:val="20"/>
              </w:rPr>
              <m:t>1+N</m:t>
            </m:r>
            <m:sSup>
              <m:sSupPr>
                <m:ctrlPr>
                  <w:rPr>
                    <w:rFonts w:ascii="Cambria Math" w:hAnsi="Cambria Math"/>
                    <w:i/>
                    <w:szCs w:val="20"/>
                  </w:rPr>
                </m:ctrlPr>
              </m:sSupPr>
              <m:e>
                <m:r>
                  <w:rPr>
                    <w:rFonts w:ascii="Cambria Math" w:hAnsi="Cambria Math"/>
                    <w:szCs w:val="20"/>
                  </w:rPr>
                  <m:t>e</m:t>
                </m:r>
              </m:e>
              <m:sup>
                <m:r>
                  <w:rPr>
                    <w:rFonts w:ascii="Cambria Math" w:hAnsi="Cambria Math"/>
                    <w:szCs w:val="20"/>
                  </w:rPr>
                  <m:t>2</m:t>
                </m:r>
              </m:sup>
            </m:sSup>
          </m:den>
        </m:f>
      </m:oMath>
    </w:p>
    <w:p w:rsidR="005929DD" w:rsidRPr="00256EEC" w:rsidRDefault="00E90A84" w:rsidP="005929DD">
      <w:pPr>
        <w:pStyle w:val="Ventura-Content"/>
        <w:ind w:firstLine="0"/>
        <w:rPr>
          <w:b/>
        </w:rPr>
      </w:pPr>
      <w:r w:rsidRPr="00256EEC">
        <w:rPr>
          <w:color w:val="000000"/>
          <w:szCs w:val="20"/>
        </w:rPr>
        <w:t>Note:</w:t>
      </w:r>
    </w:p>
    <w:p w:rsidR="005929DD" w:rsidRPr="00256EEC" w:rsidRDefault="00E90A84" w:rsidP="005929DD">
      <w:pPr>
        <w:pStyle w:val="Ventura-Content"/>
        <w:ind w:firstLine="0"/>
        <w:rPr>
          <w:b/>
        </w:rPr>
      </w:pPr>
      <w:r w:rsidRPr="00256EEC">
        <w:rPr>
          <w:color w:val="000000"/>
          <w:szCs w:val="20"/>
        </w:rPr>
        <w:t>n: number of samples</w:t>
      </w:r>
    </w:p>
    <w:p w:rsidR="005929DD" w:rsidRPr="00256EEC" w:rsidRDefault="00E90A84" w:rsidP="005929DD">
      <w:pPr>
        <w:pStyle w:val="Ventura-Content"/>
        <w:ind w:firstLine="0"/>
        <w:rPr>
          <w:b/>
        </w:rPr>
      </w:pPr>
      <w:r w:rsidRPr="00256EEC">
        <w:rPr>
          <w:color w:val="000000"/>
          <w:szCs w:val="20"/>
        </w:rPr>
        <w:t>N: total population</w:t>
      </w:r>
    </w:p>
    <w:p w:rsidR="005929DD" w:rsidRPr="00256EEC" w:rsidRDefault="00E90A84" w:rsidP="005929DD">
      <w:pPr>
        <w:pStyle w:val="Ventura-Content"/>
        <w:ind w:firstLine="0"/>
        <w:rPr>
          <w:b/>
        </w:rPr>
      </w:pPr>
      <w:r w:rsidRPr="00256EEC">
        <w:rPr>
          <w:color w:val="000000"/>
          <w:szCs w:val="20"/>
        </w:rPr>
        <w:t>e: error tolerance</w:t>
      </w:r>
    </w:p>
    <w:p w:rsidR="005929DD" w:rsidRDefault="00E90A84" w:rsidP="005929DD">
      <w:pPr>
        <w:pStyle w:val="Ventura-Content"/>
        <w:ind w:firstLine="709"/>
        <w:rPr>
          <w:color w:val="000000"/>
          <w:szCs w:val="20"/>
          <w:lang w:val="id-ID"/>
        </w:rPr>
      </w:pPr>
      <w:r w:rsidRPr="00256EEC">
        <w:rPr>
          <w:color w:val="000000"/>
          <w:szCs w:val="20"/>
        </w:rPr>
        <w:t>The number of samples used in this study, based on calculati</w:t>
      </w:r>
      <w:r w:rsidR="00CF177D">
        <w:rPr>
          <w:color w:val="000000"/>
          <w:szCs w:val="20"/>
        </w:rPr>
        <w:t xml:space="preserve">ons using the Slovin formula, </w:t>
      </w:r>
      <w:r w:rsidR="00CF177D">
        <w:rPr>
          <w:color w:val="000000"/>
          <w:szCs w:val="20"/>
          <w:lang w:val="id-ID"/>
        </w:rPr>
        <w:t>was</w:t>
      </w:r>
      <w:r w:rsidR="00CF177D">
        <w:rPr>
          <w:color w:val="000000"/>
          <w:szCs w:val="20"/>
        </w:rPr>
        <w:t xml:space="preserve"> 214 companies</w:t>
      </w:r>
      <w:r w:rsidRPr="00256EEC">
        <w:rPr>
          <w:color w:val="000000"/>
          <w:szCs w:val="20"/>
        </w:rPr>
        <w:t>, proportionally divided into nine sectors or 49 sub-sectors.</w:t>
      </w:r>
    </w:p>
    <w:p w:rsidR="00CF177D" w:rsidRPr="00CF177D" w:rsidRDefault="00CF177D" w:rsidP="005929DD">
      <w:pPr>
        <w:pStyle w:val="Ventura-Content"/>
        <w:ind w:firstLine="709"/>
        <w:rPr>
          <w:b/>
          <w:lang w:val="id-ID"/>
        </w:rPr>
      </w:pPr>
    </w:p>
    <w:p w:rsidR="005929DD" w:rsidRPr="00587B0D" w:rsidRDefault="00E90A84" w:rsidP="005929DD">
      <w:pPr>
        <w:pStyle w:val="Ventura-Content"/>
        <w:ind w:firstLine="0"/>
        <w:rPr>
          <w:b/>
          <w:i/>
        </w:rPr>
      </w:pPr>
      <w:r w:rsidRPr="00587B0D">
        <w:rPr>
          <w:b/>
          <w:i/>
          <w:color w:val="000000"/>
          <w:szCs w:val="20"/>
        </w:rPr>
        <w:t xml:space="preserve">Research Variables </w:t>
      </w:r>
    </w:p>
    <w:p w:rsidR="00587B0D" w:rsidRDefault="00E90A84" w:rsidP="00587B0D">
      <w:pPr>
        <w:pStyle w:val="Ventura-Content"/>
        <w:ind w:firstLine="0"/>
        <w:rPr>
          <w:color w:val="000000"/>
          <w:szCs w:val="20"/>
        </w:rPr>
      </w:pPr>
      <w:r>
        <w:rPr>
          <w:color w:val="000000"/>
          <w:szCs w:val="20"/>
        </w:rPr>
        <w:t>The liquidity ratio is measured using the current r</w:t>
      </w:r>
      <w:r w:rsidR="005929DD" w:rsidRPr="00256EEC">
        <w:rPr>
          <w:color w:val="000000"/>
          <w:szCs w:val="20"/>
        </w:rPr>
        <w:t>atio</w:t>
      </w:r>
      <w:r w:rsidR="005929DD" w:rsidRPr="00256EEC">
        <w:rPr>
          <w:b/>
        </w:rPr>
        <w:t xml:space="preserve">. </w:t>
      </w:r>
      <w:r>
        <w:rPr>
          <w:color w:val="000000"/>
          <w:szCs w:val="20"/>
        </w:rPr>
        <w:t>It</w:t>
      </w:r>
      <w:r w:rsidR="005929DD" w:rsidRPr="00256EEC">
        <w:rPr>
          <w:color w:val="000000"/>
          <w:szCs w:val="20"/>
        </w:rPr>
        <w:t xml:space="preserve"> is the ratio to compare current assets to current debt. The current ratio is used to see the current assets' ability to meet its current liabilit</w:t>
      </w:r>
      <w:r>
        <w:rPr>
          <w:color w:val="000000"/>
          <w:szCs w:val="20"/>
        </w:rPr>
        <w:t>ies (Sari, 2020). The current ratio formula is current assets/c</w:t>
      </w:r>
      <w:r w:rsidR="005929DD" w:rsidRPr="00256EEC">
        <w:rPr>
          <w:color w:val="000000"/>
          <w:szCs w:val="20"/>
        </w:rPr>
        <w:t xml:space="preserve">urrent </w:t>
      </w:r>
      <w:r>
        <w:rPr>
          <w:color w:val="000000"/>
          <w:szCs w:val="20"/>
        </w:rPr>
        <w:t>liabilities</w:t>
      </w:r>
      <w:r w:rsidR="005929DD" w:rsidRPr="00256EEC">
        <w:rPr>
          <w:color w:val="000000"/>
          <w:szCs w:val="20"/>
        </w:rPr>
        <w:t xml:space="preserve"> (Fraser </w:t>
      </w:r>
      <w:r>
        <w:rPr>
          <w:color w:val="000000"/>
          <w:szCs w:val="20"/>
        </w:rPr>
        <w:t xml:space="preserve">&amp; </w:t>
      </w:r>
      <w:r w:rsidR="005929DD" w:rsidRPr="00256EEC">
        <w:rPr>
          <w:color w:val="000000"/>
          <w:szCs w:val="20"/>
        </w:rPr>
        <w:t>Ormiston, 2016).</w:t>
      </w:r>
    </w:p>
    <w:p w:rsidR="00587B0D" w:rsidRDefault="00E90A84" w:rsidP="00587B0D">
      <w:pPr>
        <w:pStyle w:val="Ventura-Content"/>
        <w:ind w:firstLine="720"/>
        <w:rPr>
          <w:color w:val="000000"/>
          <w:szCs w:val="20"/>
        </w:rPr>
      </w:pPr>
      <w:r>
        <w:rPr>
          <w:color w:val="000000"/>
          <w:szCs w:val="20"/>
        </w:rPr>
        <w:t>The leverage ratio is measured using the debt to equity r</w:t>
      </w:r>
      <w:r w:rsidR="005929DD" w:rsidRPr="00256EEC">
        <w:rPr>
          <w:color w:val="000000"/>
          <w:szCs w:val="20"/>
        </w:rPr>
        <w:t>atio</w:t>
      </w:r>
      <w:r>
        <w:rPr>
          <w:color w:val="000000"/>
          <w:szCs w:val="20"/>
        </w:rPr>
        <w:t xml:space="preserve"> (DER)</w:t>
      </w:r>
      <w:r w:rsidR="005929DD" w:rsidRPr="00256EEC">
        <w:rPr>
          <w:b/>
        </w:rPr>
        <w:t xml:space="preserve">. </w:t>
      </w:r>
      <w:r>
        <w:rPr>
          <w:color w:val="000000"/>
          <w:szCs w:val="20"/>
        </w:rPr>
        <w:t>It</w:t>
      </w:r>
      <w:r w:rsidR="005929DD" w:rsidRPr="00256EEC">
        <w:rPr>
          <w:color w:val="000000"/>
          <w:szCs w:val="20"/>
        </w:rPr>
        <w:t xml:space="preserve"> is a ratio that shows how the company can fulfill all of its obligations with its capital. DER is used to see the company's ability to pay off debt, short-term debt, and </w:t>
      </w:r>
      <w:r>
        <w:rPr>
          <w:color w:val="000000"/>
          <w:szCs w:val="20"/>
        </w:rPr>
        <w:t>long-term debt. The formula of DER is total debt/t</w:t>
      </w:r>
      <w:r w:rsidR="005929DD" w:rsidRPr="00256EEC">
        <w:rPr>
          <w:color w:val="000000"/>
          <w:szCs w:val="20"/>
        </w:rPr>
        <w:t xml:space="preserve">otal </w:t>
      </w:r>
      <w:r>
        <w:rPr>
          <w:color w:val="000000"/>
          <w:szCs w:val="20"/>
        </w:rPr>
        <w:t>equity (Fraser &amp;</w:t>
      </w:r>
      <w:r w:rsidR="005929DD" w:rsidRPr="00256EEC">
        <w:rPr>
          <w:color w:val="000000"/>
          <w:szCs w:val="20"/>
        </w:rPr>
        <w:t xml:space="preserve"> Ormiston, 2016).</w:t>
      </w:r>
    </w:p>
    <w:p w:rsidR="00587B0D" w:rsidRDefault="00E90A84" w:rsidP="00587B0D">
      <w:pPr>
        <w:pStyle w:val="Ventura-Content"/>
        <w:ind w:firstLine="720"/>
        <w:rPr>
          <w:color w:val="000000"/>
          <w:szCs w:val="20"/>
        </w:rPr>
      </w:pPr>
      <w:r>
        <w:rPr>
          <w:color w:val="000000"/>
          <w:szCs w:val="20"/>
        </w:rPr>
        <w:t>Profitability is measured using the return on a</w:t>
      </w:r>
      <w:r w:rsidR="005929DD" w:rsidRPr="00256EEC">
        <w:rPr>
          <w:color w:val="000000"/>
          <w:szCs w:val="20"/>
        </w:rPr>
        <w:t>sset</w:t>
      </w:r>
      <w:r>
        <w:rPr>
          <w:color w:val="000000"/>
          <w:szCs w:val="20"/>
        </w:rPr>
        <w:t>s</w:t>
      </w:r>
      <w:r w:rsidR="005929DD" w:rsidRPr="00256EEC">
        <w:rPr>
          <w:color w:val="000000"/>
          <w:szCs w:val="20"/>
        </w:rPr>
        <w:t xml:space="preserve"> (ROA)</w:t>
      </w:r>
      <w:r w:rsidR="002A42E0" w:rsidRPr="00256EEC">
        <w:rPr>
          <w:color w:val="000000"/>
          <w:szCs w:val="20"/>
        </w:rPr>
        <w:t xml:space="preserve">. </w:t>
      </w:r>
      <w:r>
        <w:rPr>
          <w:color w:val="000000"/>
          <w:szCs w:val="20"/>
        </w:rPr>
        <w:t>It</w:t>
      </w:r>
      <w:r w:rsidR="005929DD" w:rsidRPr="00256EEC">
        <w:rPr>
          <w:color w:val="000000"/>
          <w:szCs w:val="20"/>
        </w:rPr>
        <w:t xml:space="preserve"> is used to measure the company's effectiveness to generate profits by taking advantage of the company's effectiveness (Syafirah, 2019). ROA can reflect the level of company </w:t>
      </w:r>
      <w:r>
        <w:rPr>
          <w:color w:val="000000"/>
          <w:szCs w:val="20"/>
        </w:rPr>
        <w:t>performance. The formula of</w:t>
      </w:r>
      <w:r w:rsidR="004D251E">
        <w:rPr>
          <w:color w:val="000000"/>
          <w:szCs w:val="20"/>
        </w:rPr>
        <w:t xml:space="preserve"> ROA</w:t>
      </w:r>
      <w:r>
        <w:rPr>
          <w:color w:val="000000"/>
          <w:szCs w:val="20"/>
        </w:rPr>
        <w:t xml:space="preserve"> is</w:t>
      </w:r>
      <w:r w:rsidR="005929DD" w:rsidRPr="00256EEC">
        <w:rPr>
          <w:color w:val="000000"/>
          <w:szCs w:val="20"/>
        </w:rPr>
        <w:t xml:space="preserve"> </w:t>
      </w:r>
      <w:r>
        <w:rPr>
          <w:color w:val="000000"/>
          <w:szCs w:val="20"/>
        </w:rPr>
        <w:t>after-tax profit</w:t>
      </w:r>
      <w:r w:rsidR="005929DD" w:rsidRPr="00256EEC">
        <w:rPr>
          <w:color w:val="000000"/>
          <w:szCs w:val="20"/>
        </w:rPr>
        <w:t xml:space="preserve"> total assets (Abbas, 2018).</w:t>
      </w:r>
    </w:p>
    <w:p w:rsidR="002A42E0" w:rsidRPr="00256EEC" w:rsidRDefault="00E90A84" w:rsidP="00587B0D">
      <w:pPr>
        <w:pStyle w:val="Ventura-Content"/>
        <w:ind w:firstLine="720"/>
        <w:rPr>
          <w:color w:val="000000"/>
          <w:szCs w:val="20"/>
        </w:rPr>
      </w:pPr>
      <w:r w:rsidRPr="00256EEC">
        <w:rPr>
          <w:color w:val="000000"/>
          <w:szCs w:val="20"/>
        </w:rPr>
        <w:t>Receivable Turnover</w:t>
      </w:r>
      <w:r w:rsidR="00587B0D">
        <w:rPr>
          <w:color w:val="000000"/>
          <w:szCs w:val="20"/>
        </w:rPr>
        <w:t xml:space="preserve"> is used to measure the activity ratio.</w:t>
      </w:r>
      <w:r w:rsidRPr="00256EEC">
        <w:rPr>
          <w:color w:val="000000"/>
          <w:szCs w:val="20"/>
        </w:rPr>
        <w:t xml:space="preserve"> </w:t>
      </w:r>
      <w:r w:rsidR="00587B0D">
        <w:rPr>
          <w:color w:val="000000"/>
          <w:szCs w:val="20"/>
        </w:rPr>
        <w:t>It</w:t>
      </w:r>
      <w:r w:rsidRPr="00256EEC">
        <w:rPr>
          <w:color w:val="000000"/>
          <w:szCs w:val="20"/>
        </w:rPr>
        <w:t xml:space="preserve"> is a ratio to measure a company's ability to handle credit sales and its poli</w:t>
      </w:r>
      <w:r w:rsidR="00587B0D">
        <w:rPr>
          <w:color w:val="000000"/>
          <w:szCs w:val="20"/>
        </w:rPr>
        <w:t>cies. The formula of</w:t>
      </w:r>
      <w:r w:rsidRPr="00256EEC">
        <w:rPr>
          <w:color w:val="000000"/>
          <w:szCs w:val="20"/>
        </w:rPr>
        <w:t xml:space="preserve"> </w:t>
      </w:r>
      <w:r w:rsidR="00587B0D">
        <w:rPr>
          <w:color w:val="000000"/>
          <w:szCs w:val="20"/>
        </w:rPr>
        <w:t>receivable turnover is sales/a</w:t>
      </w:r>
      <w:r w:rsidRPr="00256EEC">
        <w:rPr>
          <w:color w:val="000000"/>
          <w:szCs w:val="20"/>
        </w:rPr>
        <w:t>verage receivables (Abbas, 2018).</w:t>
      </w:r>
    </w:p>
    <w:p w:rsidR="002A42E0" w:rsidRPr="00256EEC" w:rsidRDefault="002A42E0" w:rsidP="002A42E0">
      <w:pPr>
        <w:pStyle w:val="Ventura-Content"/>
        <w:ind w:firstLine="0"/>
        <w:rPr>
          <w:color w:val="000000"/>
          <w:szCs w:val="20"/>
        </w:rPr>
      </w:pPr>
    </w:p>
    <w:p w:rsidR="00682AB0" w:rsidRPr="00256EEC" w:rsidRDefault="00E90A84" w:rsidP="002A42E0">
      <w:pPr>
        <w:pStyle w:val="Ventura-Content"/>
        <w:ind w:firstLine="0"/>
        <w:rPr>
          <w:b/>
          <w:color w:val="000000"/>
          <w:szCs w:val="20"/>
        </w:rPr>
      </w:pPr>
      <w:r>
        <w:rPr>
          <w:b/>
        </w:rPr>
        <w:t xml:space="preserve">4. </w:t>
      </w:r>
      <w:r>
        <w:rPr>
          <w:b/>
          <w:lang w:val="id-ID"/>
        </w:rPr>
        <w:t>RESEARCH RESULTS</w:t>
      </w:r>
      <w:r w:rsidRPr="00256EEC">
        <w:rPr>
          <w:b/>
        </w:rPr>
        <w:t xml:space="preserve"> AND DISCUSSION</w:t>
      </w:r>
    </w:p>
    <w:p w:rsidR="003419A2" w:rsidRPr="00587B0D" w:rsidRDefault="00E90A84" w:rsidP="006E2AF2">
      <w:pPr>
        <w:pStyle w:val="Ventura-Content"/>
        <w:ind w:firstLine="0"/>
        <w:rPr>
          <w:b/>
          <w:i/>
          <w:color w:val="000000"/>
          <w:szCs w:val="20"/>
          <w:lang w:val="id-ID"/>
        </w:rPr>
      </w:pPr>
      <w:r>
        <w:rPr>
          <w:b/>
          <w:i/>
          <w:color w:val="000000"/>
          <w:szCs w:val="20"/>
          <w:lang w:val="id-ID"/>
        </w:rPr>
        <w:t>Descriptive Analysis</w:t>
      </w:r>
    </w:p>
    <w:p w:rsidR="003419A2" w:rsidRDefault="00E90A84" w:rsidP="003419A2">
      <w:pPr>
        <w:pStyle w:val="Ventura-Content"/>
        <w:ind w:firstLine="0"/>
        <w:rPr>
          <w:color w:val="000000"/>
          <w:szCs w:val="20"/>
          <w:lang w:val="id-ID"/>
        </w:rPr>
      </w:pPr>
      <w:r w:rsidRPr="00256EEC">
        <w:rPr>
          <w:color w:val="000000"/>
          <w:szCs w:val="20"/>
        </w:rPr>
        <w:t>This</w:t>
      </w:r>
      <w:r w:rsidR="00CF177D">
        <w:rPr>
          <w:color w:val="000000"/>
          <w:szCs w:val="20"/>
        </w:rPr>
        <w:t xml:space="preserve"> research data analysis </w:t>
      </w:r>
      <w:r w:rsidR="00CF177D">
        <w:rPr>
          <w:color w:val="000000"/>
          <w:szCs w:val="20"/>
          <w:lang w:val="id-ID"/>
        </w:rPr>
        <w:t>included</w:t>
      </w:r>
      <w:r w:rsidRPr="00256EEC">
        <w:rPr>
          <w:color w:val="000000"/>
          <w:szCs w:val="20"/>
        </w:rPr>
        <w:t xml:space="preserve"> descriptive statistics and analysis of different tests on public companies' performance in Indonesia between before and during the e</w:t>
      </w:r>
      <w:r>
        <w:rPr>
          <w:color w:val="000000"/>
          <w:szCs w:val="20"/>
        </w:rPr>
        <w:t>conomic crisis due to the COVID</w:t>
      </w:r>
      <w:r>
        <w:rPr>
          <w:color w:val="000000"/>
          <w:szCs w:val="20"/>
          <w:lang w:val="id-ID"/>
        </w:rPr>
        <w:t>-</w:t>
      </w:r>
      <w:r w:rsidRPr="00256EEC">
        <w:rPr>
          <w:color w:val="000000"/>
          <w:szCs w:val="20"/>
        </w:rPr>
        <w:t>19 pandemi</w:t>
      </w:r>
      <w:r w:rsidR="00CF177D">
        <w:rPr>
          <w:color w:val="000000"/>
          <w:szCs w:val="20"/>
        </w:rPr>
        <w:t xml:space="preserve">c. First, a data normality test </w:t>
      </w:r>
      <w:r w:rsidR="00CF177D">
        <w:rPr>
          <w:color w:val="000000"/>
          <w:szCs w:val="20"/>
          <w:lang w:val="id-ID"/>
        </w:rPr>
        <w:t>was</w:t>
      </w:r>
      <w:r w:rsidRPr="00256EEC">
        <w:rPr>
          <w:color w:val="000000"/>
          <w:szCs w:val="20"/>
        </w:rPr>
        <w:t xml:space="preserve"> conducted to determ</w:t>
      </w:r>
      <w:r w:rsidR="00CF177D">
        <w:rPr>
          <w:color w:val="000000"/>
          <w:szCs w:val="20"/>
        </w:rPr>
        <w:t xml:space="preserve">ine which statistical tests </w:t>
      </w:r>
      <w:r w:rsidR="00CF177D">
        <w:rPr>
          <w:color w:val="000000"/>
          <w:szCs w:val="20"/>
          <w:lang w:val="id-ID"/>
        </w:rPr>
        <w:t>would</w:t>
      </w:r>
      <w:r w:rsidRPr="00256EEC">
        <w:rPr>
          <w:color w:val="000000"/>
          <w:szCs w:val="20"/>
        </w:rPr>
        <w:t xml:space="preserve"> be used in the difference </w:t>
      </w:r>
      <w:r w:rsidR="00CF177D">
        <w:rPr>
          <w:color w:val="000000"/>
          <w:szCs w:val="20"/>
        </w:rPr>
        <w:t xml:space="preserve">test. The data normality test </w:t>
      </w:r>
      <w:r w:rsidR="00CF177D">
        <w:rPr>
          <w:color w:val="000000"/>
          <w:szCs w:val="20"/>
          <w:lang w:val="id-ID"/>
        </w:rPr>
        <w:t>is</w:t>
      </w:r>
      <w:r w:rsidRPr="00256EEC">
        <w:rPr>
          <w:color w:val="000000"/>
          <w:szCs w:val="20"/>
        </w:rPr>
        <w:t xml:space="preserve"> an absolute requirement in the parametric statistical test. If the data is not normally distributed, another test can be done to use non-parametric statistics, such as the Wilcoxon signed-rank test. The dat</w:t>
      </w:r>
      <w:r w:rsidR="00CF177D">
        <w:rPr>
          <w:color w:val="000000"/>
          <w:szCs w:val="20"/>
        </w:rPr>
        <w:t xml:space="preserve">a </w:t>
      </w:r>
      <w:r w:rsidR="00CF177D">
        <w:rPr>
          <w:color w:val="000000"/>
          <w:szCs w:val="20"/>
          <w:lang w:val="id-ID"/>
        </w:rPr>
        <w:t>were</w:t>
      </w:r>
      <w:r w:rsidRPr="00256EEC">
        <w:rPr>
          <w:color w:val="000000"/>
          <w:szCs w:val="20"/>
        </w:rPr>
        <w:t xml:space="preserve"> analyzed using SPSS version 25.</w:t>
      </w:r>
    </w:p>
    <w:p w:rsidR="003419A2" w:rsidRDefault="00E90A84" w:rsidP="003419A2">
      <w:pPr>
        <w:pStyle w:val="Ventura-Content"/>
        <w:ind w:firstLine="709"/>
        <w:rPr>
          <w:color w:val="000000"/>
          <w:szCs w:val="20"/>
          <w:lang w:val="id-ID"/>
        </w:rPr>
      </w:pPr>
      <w:r w:rsidRPr="00256EEC">
        <w:rPr>
          <w:color w:val="000000"/>
          <w:szCs w:val="20"/>
        </w:rPr>
        <w:t xml:space="preserve">The results of the descriptive analysis in Table 3 show that there </w:t>
      </w:r>
      <w:r>
        <w:rPr>
          <w:color w:val="000000"/>
          <w:szCs w:val="20"/>
        </w:rPr>
        <w:t xml:space="preserve">was a decrease in the average </w:t>
      </w:r>
      <w:r>
        <w:rPr>
          <w:color w:val="000000"/>
          <w:szCs w:val="20"/>
          <w:lang w:val="id-ID"/>
        </w:rPr>
        <w:t>current</w:t>
      </w:r>
      <w:r w:rsidRPr="00256EEC">
        <w:rPr>
          <w:color w:val="000000"/>
          <w:szCs w:val="20"/>
        </w:rPr>
        <w:t xml:space="preserve"> ratio in Indone</w:t>
      </w:r>
      <w:r w:rsidR="00CF177D">
        <w:rPr>
          <w:color w:val="000000"/>
          <w:szCs w:val="20"/>
        </w:rPr>
        <w:t>sian companies during the COVID</w:t>
      </w:r>
      <w:r w:rsidR="00CF177D">
        <w:rPr>
          <w:color w:val="000000"/>
          <w:szCs w:val="20"/>
          <w:lang w:val="id-ID"/>
        </w:rPr>
        <w:t>-</w:t>
      </w:r>
      <w:r w:rsidRPr="00256EEC">
        <w:rPr>
          <w:color w:val="000000"/>
          <w:szCs w:val="20"/>
        </w:rPr>
        <w:t>19 pandem</w:t>
      </w:r>
      <w:r w:rsidR="00CF177D">
        <w:rPr>
          <w:color w:val="000000"/>
          <w:szCs w:val="20"/>
        </w:rPr>
        <w:t>ic compared to before the COVID</w:t>
      </w:r>
      <w:r w:rsidR="00CF177D">
        <w:rPr>
          <w:color w:val="000000"/>
          <w:szCs w:val="20"/>
          <w:lang w:val="id-ID"/>
        </w:rPr>
        <w:t>-</w:t>
      </w:r>
      <w:r w:rsidRPr="00256EEC">
        <w:rPr>
          <w:color w:val="000000"/>
          <w:szCs w:val="20"/>
        </w:rPr>
        <w:t>19 pandemic.</w:t>
      </w:r>
      <w:r>
        <w:rPr>
          <w:color w:val="000000"/>
          <w:szCs w:val="20"/>
          <w:lang w:val="id-ID"/>
        </w:rPr>
        <w:t xml:space="preserve"> </w:t>
      </w:r>
      <w:r w:rsidRPr="00256EEC">
        <w:rPr>
          <w:color w:val="000000"/>
          <w:szCs w:val="20"/>
        </w:rPr>
        <w:t>The average value of the current ratio before the COVID 19 pandemic was 8.069, while the average value of the</w:t>
      </w:r>
      <w:r w:rsidR="00CF177D">
        <w:rPr>
          <w:color w:val="000000"/>
          <w:szCs w:val="20"/>
        </w:rPr>
        <w:t xml:space="preserve"> current ratio during the COVID</w:t>
      </w:r>
      <w:r w:rsidR="00CF177D">
        <w:rPr>
          <w:color w:val="000000"/>
          <w:szCs w:val="20"/>
          <w:lang w:val="id-ID"/>
        </w:rPr>
        <w:t>-</w:t>
      </w:r>
      <w:r w:rsidRPr="00256EEC">
        <w:rPr>
          <w:color w:val="000000"/>
          <w:szCs w:val="20"/>
        </w:rPr>
        <w:t>19 pandemic was 5.201. The decline in the current ratio from the COVID 19 pandemic to</w:t>
      </w:r>
      <w:r w:rsidR="00CF177D">
        <w:rPr>
          <w:color w:val="000000"/>
          <w:szCs w:val="20"/>
        </w:rPr>
        <w:t xml:space="preserve"> during the COVID</w:t>
      </w:r>
      <w:r w:rsidR="00CF177D">
        <w:rPr>
          <w:color w:val="000000"/>
          <w:szCs w:val="20"/>
          <w:lang w:val="id-ID"/>
        </w:rPr>
        <w:t>-</w:t>
      </w:r>
      <w:r w:rsidRPr="00256EEC">
        <w:rPr>
          <w:color w:val="000000"/>
          <w:szCs w:val="20"/>
        </w:rPr>
        <w:t>19 pandemic was 2.868. This decrease in a</w:t>
      </w:r>
      <w:r w:rsidR="00CF177D">
        <w:rPr>
          <w:color w:val="000000"/>
          <w:szCs w:val="20"/>
        </w:rPr>
        <w:t>verage indicates that the COVID</w:t>
      </w:r>
      <w:r w:rsidR="00CF177D">
        <w:rPr>
          <w:color w:val="000000"/>
          <w:szCs w:val="20"/>
          <w:lang w:val="id-ID"/>
        </w:rPr>
        <w:t>-</w:t>
      </w:r>
      <w:r w:rsidR="00CF177D">
        <w:rPr>
          <w:color w:val="000000"/>
          <w:szCs w:val="20"/>
        </w:rPr>
        <w:t>19 pandemic</w:t>
      </w:r>
      <w:r w:rsidRPr="00256EEC">
        <w:rPr>
          <w:color w:val="000000"/>
          <w:szCs w:val="20"/>
        </w:rPr>
        <w:t xml:space="preserve"> has harmed its financial performance when viewed from changes in the value of the current ratio. The average </w:t>
      </w:r>
      <w:r w:rsidR="00CF177D">
        <w:rPr>
          <w:color w:val="000000"/>
          <w:szCs w:val="20"/>
          <w:lang w:val="id-ID"/>
        </w:rPr>
        <w:t xml:space="preserve">value of </w:t>
      </w:r>
      <w:r w:rsidR="00CF177D">
        <w:rPr>
          <w:color w:val="000000"/>
          <w:szCs w:val="20"/>
        </w:rPr>
        <w:t>DER increased during the COVID</w:t>
      </w:r>
      <w:r w:rsidR="00CF177D">
        <w:rPr>
          <w:color w:val="000000"/>
          <w:szCs w:val="20"/>
          <w:lang w:val="id-ID"/>
        </w:rPr>
        <w:t>-</w:t>
      </w:r>
      <w:r w:rsidRPr="00256EEC">
        <w:rPr>
          <w:color w:val="000000"/>
          <w:szCs w:val="20"/>
        </w:rPr>
        <w:t>19 pandem</w:t>
      </w:r>
      <w:r w:rsidR="00CF177D">
        <w:rPr>
          <w:color w:val="000000"/>
          <w:szCs w:val="20"/>
        </w:rPr>
        <w:t>ic compared to before the COVID</w:t>
      </w:r>
      <w:r w:rsidR="00CF177D">
        <w:rPr>
          <w:color w:val="000000"/>
          <w:szCs w:val="20"/>
          <w:lang w:val="id-ID"/>
        </w:rPr>
        <w:t>-</w:t>
      </w:r>
      <w:r w:rsidRPr="00256EEC">
        <w:rPr>
          <w:color w:val="000000"/>
          <w:szCs w:val="20"/>
        </w:rPr>
        <w:t>19 pandemic. The averag</w:t>
      </w:r>
      <w:r w:rsidR="00CF177D">
        <w:rPr>
          <w:color w:val="000000"/>
          <w:szCs w:val="20"/>
        </w:rPr>
        <w:t>e value of DER before the COVID</w:t>
      </w:r>
      <w:r w:rsidR="00CF177D">
        <w:rPr>
          <w:color w:val="000000"/>
          <w:szCs w:val="20"/>
          <w:lang w:val="id-ID"/>
        </w:rPr>
        <w:t>-</w:t>
      </w:r>
      <w:r w:rsidRPr="00256EEC">
        <w:rPr>
          <w:color w:val="000000"/>
          <w:szCs w:val="20"/>
        </w:rPr>
        <w:t>19 pandemic was 1.408, while the averag</w:t>
      </w:r>
      <w:r w:rsidR="00CF177D">
        <w:rPr>
          <w:color w:val="000000"/>
          <w:szCs w:val="20"/>
        </w:rPr>
        <w:t>e value of DER during the COVID</w:t>
      </w:r>
      <w:r w:rsidR="00CF177D">
        <w:rPr>
          <w:color w:val="000000"/>
          <w:szCs w:val="20"/>
          <w:lang w:val="id-ID"/>
        </w:rPr>
        <w:t>-</w:t>
      </w:r>
      <w:r w:rsidRPr="00256EEC">
        <w:rPr>
          <w:color w:val="000000"/>
          <w:szCs w:val="20"/>
        </w:rPr>
        <w:t>19 pandemic was 1.482. This increase in avera</w:t>
      </w:r>
      <w:r w:rsidR="00CF177D">
        <w:rPr>
          <w:color w:val="000000"/>
          <w:szCs w:val="20"/>
        </w:rPr>
        <w:t>ge indicates that the COVID</w:t>
      </w:r>
      <w:r w:rsidR="00CF177D">
        <w:rPr>
          <w:color w:val="000000"/>
          <w:szCs w:val="20"/>
          <w:lang w:val="id-ID"/>
        </w:rPr>
        <w:t>-</w:t>
      </w:r>
      <w:r w:rsidRPr="00256EEC">
        <w:rPr>
          <w:color w:val="000000"/>
          <w:szCs w:val="20"/>
        </w:rPr>
        <w:t>19 pandemic has had a negative impact on the company's financial performance when viewed from changes in the DER value.</w:t>
      </w:r>
    </w:p>
    <w:p w:rsidR="003419A2" w:rsidRDefault="00E90A84" w:rsidP="003419A2">
      <w:pPr>
        <w:pStyle w:val="Ventura-Content"/>
        <w:ind w:firstLine="709"/>
        <w:rPr>
          <w:color w:val="000000"/>
          <w:szCs w:val="20"/>
          <w:lang w:val="id-ID"/>
        </w:rPr>
      </w:pPr>
      <w:r w:rsidRPr="00256EEC">
        <w:rPr>
          <w:color w:val="000000"/>
          <w:szCs w:val="20"/>
        </w:rPr>
        <w:t xml:space="preserve">When viewed from other performance aspects, such as changes in ROA value, it was found that there </w:t>
      </w:r>
      <w:r w:rsidRPr="00256EEC">
        <w:rPr>
          <w:color w:val="000000"/>
          <w:szCs w:val="20"/>
        </w:rPr>
        <w:lastRenderedPageBreak/>
        <w:t>was a decrease in the average ROA va</w:t>
      </w:r>
      <w:r w:rsidR="00CF177D">
        <w:rPr>
          <w:color w:val="000000"/>
          <w:szCs w:val="20"/>
        </w:rPr>
        <w:t>lue, which means that the COVID</w:t>
      </w:r>
      <w:r w:rsidR="00CF177D">
        <w:rPr>
          <w:color w:val="000000"/>
          <w:szCs w:val="20"/>
          <w:lang w:val="id-ID"/>
        </w:rPr>
        <w:t>-</w:t>
      </w:r>
      <w:r w:rsidRPr="00256EEC">
        <w:rPr>
          <w:color w:val="000000"/>
          <w:szCs w:val="20"/>
        </w:rPr>
        <w:t>19 pandemic situation has harmed the company's financial performance when viewed from changes in the ROA value. The averag</w:t>
      </w:r>
      <w:r w:rsidR="00CF177D">
        <w:rPr>
          <w:color w:val="000000"/>
          <w:szCs w:val="20"/>
        </w:rPr>
        <w:t>e value of ROA before the COVID</w:t>
      </w:r>
      <w:r w:rsidR="00CF177D">
        <w:rPr>
          <w:color w:val="000000"/>
          <w:szCs w:val="20"/>
          <w:lang w:val="id-ID"/>
        </w:rPr>
        <w:t>-</w:t>
      </w:r>
      <w:r w:rsidRPr="00256EEC">
        <w:rPr>
          <w:color w:val="000000"/>
          <w:szCs w:val="20"/>
        </w:rPr>
        <w:t>19 pandemic was 0.011, while the ave</w:t>
      </w:r>
      <w:r w:rsidR="00CF177D">
        <w:rPr>
          <w:color w:val="000000"/>
          <w:szCs w:val="20"/>
        </w:rPr>
        <w:t>rage ROA value during the COVID</w:t>
      </w:r>
      <w:r w:rsidR="00CF177D">
        <w:rPr>
          <w:color w:val="000000"/>
          <w:szCs w:val="20"/>
          <w:lang w:val="id-ID"/>
        </w:rPr>
        <w:t>-</w:t>
      </w:r>
      <w:r w:rsidRPr="00256EEC">
        <w:rPr>
          <w:color w:val="000000"/>
          <w:szCs w:val="20"/>
        </w:rPr>
        <w:t xml:space="preserve">19 pandemic was 0.004. The decline in the average value of ROA </w:t>
      </w:r>
      <w:r w:rsidR="00CF177D">
        <w:rPr>
          <w:color w:val="000000"/>
          <w:szCs w:val="20"/>
        </w:rPr>
        <w:t>from before to during the COVID</w:t>
      </w:r>
      <w:r w:rsidR="00CF177D">
        <w:rPr>
          <w:color w:val="000000"/>
          <w:szCs w:val="20"/>
          <w:lang w:val="id-ID"/>
        </w:rPr>
        <w:t>-</w:t>
      </w:r>
      <w:r w:rsidRPr="00256EEC">
        <w:rPr>
          <w:color w:val="000000"/>
          <w:szCs w:val="20"/>
        </w:rPr>
        <w:t>19 pandemic was 0.007. Performance appraisal will be different when viewed from changes in the value of receivable turnover. The increase in the average value of receivable turnove</w:t>
      </w:r>
      <w:r w:rsidR="00CF177D">
        <w:rPr>
          <w:color w:val="000000"/>
          <w:szCs w:val="20"/>
        </w:rPr>
        <w:t>r shows that the COVID</w:t>
      </w:r>
      <w:r w:rsidR="00CF177D">
        <w:rPr>
          <w:color w:val="000000"/>
          <w:szCs w:val="20"/>
          <w:lang w:val="id-ID"/>
        </w:rPr>
        <w:t>-</w:t>
      </w:r>
      <w:r w:rsidRPr="00256EEC">
        <w:rPr>
          <w:color w:val="000000"/>
          <w:szCs w:val="20"/>
        </w:rPr>
        <w:t>19 pandemic situation has positively impacted the company's financial performance when viewed from changes in the value of receivable turnover. The average value of receivable turnover before the COVID 19 pandemic was 3.826, while the average value of receivable turnover during the COVID 19 pandemic was 5.870. The increase in the average value of receivable turnover before the COVID 19 pandemic was 2.044.</w:t>
      </w:r>
    </w:p>
    <w:p w:rsidR="00FE324D" w:rsidRDefault="00FE324D" w:rsidP="00FE324D">
      <w:pPr>
        <w:pStyle w:val="Ventura-Content"/>
        <w:ind w:firstLine="709"/>
        <w:rPr>
          <w:color w:val="000000"/>
          <w:szCs w:val="20"/>
          <w:lang w:val="id-ID"/>
        </w:rPr>
      </w:pPr>
    </w:p>
    <w:p w:rsidR="003419A2" w:rsidRDefault="00E90A84" w:rsidP="00FE324D">
      <w:pPr>
        <w:pStyle w:val="Ventura-Content"/>
        <w:ind w:firstLine="0"/>
        <w:jc w:val="center"/>
        <w:rPr>
          <w:color w:val="000000"/>
          <w:szCs w:val="20"/>
          <w:lang w:val="id-ID"/>
        </w:rPr>
      </w:pPr>
      <w:r w:rsidRPr="00256EEC">
        <w:rPr>
          <w:color w:val="000000"/>
          <w:szCs w:val="20"/>
        </w:rPr>
        <w:t>Table 3</w:t>
      </w:r>
      <w:r w:rsidR="00FE324D">
        <w:rPr>
          <w:color w:val="000000"/>
          <w:szCs w:val="20"/>
          <w:lang w:val="id-ID"/>
        </w:rPr>
        <w:t xml:space="preserve">. </w:t>
      </w:r>
      <w:r w:rsidR="004D251E">
        <w:rPr>
          <w:color w:val="000000"/>
          <w:szCs w:val="20"/>
          <w:lang w:val="id-ID"/>
        </w:rPr>
        <w:t>Descriptive</w:t>
      </w:r>
      <w:r w:rsidR="00C1168B" w:rsidRPr="00256EEC">
        <w:rPr>
          <w:color w:val="000000"/>
          <w:szCs w:val="20"/>
        </w:rPr>
        <w:t xml:space="preserve"> analysis results</w:t>
      </w:r>
    </w:p>
    <w:tbl>
      <w:tblPr>
        <w:tblW w:w="8080" w:type="dxa"/>
        <w:tblInd w:w="567" w:type="dxa"/>
        <w:tblLayout w:type="fixed"/>
        <w:tblCellMar>
          <w:left w:w="0" w:type="dxa"/>
          <w:right w:w="0" w:type="dxa"/>
        </w:tblCellMar>
        <w:tblLook w:val="0000" w:firstRow="0" w:lastRow="0" w:firstColumn="0" w:lastColumn="0" w:noHBand="0" w:noVBand="0"/>
      </w:tblPr>
      <w:tblGrid>
        <w:gridCol w:w="2410"/>
        <w:gridCol w:w="709"/>
        <w:gridCol w:w="1134"/>
        <w:gridCol w:w="1134"/>
        <w:gridCol w:w="1134"/>
        <w:gridCol w:w="1559"/>
      </w:tblGrid>
      <w:tr w:rsidR="00C373BA" w:rsidTr="006D7423">
        <w:trPr>
          <w:cantSplit/>
        </w:trPr>
        <w:tc>
          <w:tcPr>
            <w:tcW w:w="2410" w:type="dxa"/>
            <w:tcBorders>
              <w:top w:val="single" w:sz="4" w:space="0" w:color="auto"/>
              <w:bottom w:val="single" w:sz="4" w:space="0" w:color="auto"/>
            </w:tcBorders>
            <w:shd w:val="clear" w:color="auto" w:fill="FFFFFF"/>
            <w:vAlign w:val="bottom"/>
          </w:tcPr>
          <w:p w:rsidR="00FE324D" w:rsidRPr="00FE324D" w:rsidRDefault="00FE324D" w:rsidP="0090289B">
            <w:pPr>
              <w:autoSpaceDE w:val="0"/>
              <w:autoSpaceDN w:val="0"/>
              <w:adjustRightInd w:val="0"/>
              <w:rPr>
                <w:rFonts w:ascii="Book Antiqua" w:hAnsi="Book Antiqua"/>
                <w:szCs w:val="20"/>
                <w:lang w:eastAsia="id-ID"/>
              </w:rPr>
            </w:pPr>
          </w:p>
        </w:tc>
        <w:tc>
          <w:tcPr>
            <w:tcW w:w="709" w:type="dxa"/>
            <w:tcBorders>
              <w:top w:val="single" w:sz="4" w:space="0" w:color="auto"/>
              <w:bottom w:val="single" w:sz="4" w:space="0" w:color="auto"/>
            </w:tcBorders>
            <w:shd w:val="clear" w:color="auto" w:fill="FFFFFF"/>
            <w:vAlign w:val="center"/>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N</w:t>
            </w:r>
          </w:p>
        </w:tc>
        <w:tc>
          <w:tcPr>
            <w:tcW w:w="1134" w:type="dxa"/>
            <w:tcBorders>
              <w:top w:val="single" w:sz="4" w:space="0" w:color="auto"/>
              <w:bottom w:val="single" w:sz="4" w:space="0" w:color="auto"/>
            </w:tcBorders>
            <w:shd w:val="clear" w:color="auto" w:fill="FFFFFF"/>
            <w:vAlign w:val="center"/>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 xml:space="preserve">Min </w:t>
            </w:r>
          </w:p>
        </w:tc>
        <w:tc>
          <w:tcPr>
            <w:tcW w:w="1134" w:type="dxa"/>
            <w:tcBorders>
              <w:top w:val="single" w:sz="4" w:space="0" w:color="auto"/>
              <w:bottom w:val="single" w:sz="4" w:space="0" w:color="auto"/>
            </w:tcBorders>
            <w:shd w:val="clear" w:color="auto" w:fill="FFFFFF"/>
            <w:vAlign w:val="center"/>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Max</w:t>
            </w:r>
          </w:p>
        </w:tc>
        <w:tc>
          <w:tcPr>
            <w:tcW w:w="1134" w:type="dxa"/>
            <w:tcBorders>
              <w:top w:val="single" w:sz="4" w:space="0" w:color="auto"/>
              <w:bottom w:val="single" w:sz="4" w:space="0" w:color="auto"/>
            </w:tcBorders>
            <w:shd w:val="clear" w:color="auto" w:fill="FFFFFF"/>
            <w:vAlign w:val="center"/>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Mean</w:t>
            </w:r>
          </w:p>
        </w:tc>
        <w:tc>
          <w:tcPr>
            <w:tcW w:w="1559" w:type="dxa"/>
            <w:tcBorders>
              <w:top w:val="single" w:sz="4" w:space="0" w:color="auto"/>
              <w:bottom w:val="single" w:sz="4" w:space="0" w:color="auto"/>
            </w:tcBorders>
            <w:shd w:val="clear" w:color="auto" w:fill="FFFFFF"/>
            <w:vAlign w:val="center"/>
          </w:tcPr>
          <w:p w:rsidR="00FE324D" w:rsidRPr="00FE324D" w:rsidRDefault="00E90A84" w:rsidP="00B901A9">
            <w:pPr>
              <w:autoSpaceDE w:val="0"/>
              <w:autoSpaceDN w:val="0"/>
              <w:adjustRightInd w:val="0"/>
              <w:ind w:left="60" w:right="60"/>
              <w:jc w:val="left"/>
              <w:rPr>
                <w:rFonts w:ascii="Book Antiqua" w:hAnsi="Book Antiqua"/>
                <w:szCs w:val="20"/>
                <w:lang w:val="id-ID" w:eastAsia="id-ID"/>
              </w:rPr>
            </w:pPr>
            <w:r w:rsidRPr="00FE324D">
              <w:rPr>
                <w:rFonts w:ascii="Book Antiqua" w:hAnsi="Book Antiqua"/>
                <w:szCs w:val="20"/>
                <w:lang w:eastAsia="id-ID"/>
              </w:rPr>
              <w:t xml:space="preserve">Std. </w:t>
            </w:r>
            <w:r>
              <w:rPr>
                <w:rFonts w:ascii="Book Antiqua" w:hAnsi="Book Antiqua"/>
                <w:szCs w:val="20"/>
                <w:lang w:val="id-ID" w:eastAsia="id-ID"/>
              </w:rPr>
              <w:t>Deviation</w:t>
            </w:r>
          </w:p>
        </w:tc>
      </w:tr>
      <w:tr w:rsidR="00C373BA" w:rsidTr="006D7423">
        <w:trPr>
          <w:cantSplit/>
        </w:trPr>
        <w:tc>
          <w:tcPr>
            <w:tcW w:w="2410" w:type="dxa"/>
            <w:tcBorders>
              <w:top w:val="single" w:sz="4" w:space="0" w:color="auto"/>
            </w:tcBorders>
            <w:shd w:val="clear" w:color="auto" w:fill="auto"/>
          </w:tcPr>
          <w:p w:rsidR="00FE324D" w:rsidRPr="00FE324D" w:rsidRDefault="00E90A84" w:rsidP="0090289B">
            <w:pPr>
              <w:autoSpaceDE w:val="0"/>
              <w:autoSpaceDN w:val="0"/>
              <w:adjustRightInd w:val="0"/>
              <w:ind w:left="60" w:right="60"/>
              <w:rPr>
                <w:rFonts w:ascii="Book Antiqua" w:hAnsi="Book Antiqua"/>
                <w:szCs w:val="20"/>
                <w:lang w:eastAsia="id-ID"/>
              </w:rPr>
            </w:pPr>
            <w:r>
              <w:rPr>
                <w:rFonts w:ascii="Book Antiqua" w:hAnsi="Book Antiqua"/>
                <w:szCs w:val="20"/>
                <w:lang w:eastAsia="id-ID"/>
              </w:rPr>
              <w:t>CR_</w:t>
            </w:r>
            <w:r>
              <w:rPr>
                <w:rFonts w:ascii="Book Antiqua" w:hAnsi="Book Antiqua"/>
                <w:szCs w:val="20"/>
                <w:lang w:val="id-ID" w:eastAsia="id-ID"/>
              </w:rPr>
              <w:t>before</w:t>
            </w:r>
            <w:r>
              <w:rPr>
                <w:rFonts w:ascii="Book Antiqua" w:hAnsi="Book Antiqua"/>
                <w:szCs w:val="20"/>
                <w:lang w:eastAsia="id-ID"/>
              </w:rPr>
              <w:t xml:space="preserve"> COVID</w:t>
            </w:r>
            <w:r>
              <w:rPr>
                <w:rFonts w:ascii="Book Antiqua" w:hAnsi="Book Antiqua"/>
                <w:szCs w:val="20"/>
                <w:lang w:val="id-ID" w:eastAsia="id-ID"/>
              </w:rPr>
              <w:t>-</w:t>
            </w:r>
            <w:r w:rsidRPr="00FE324D">
              <w:rPr>
                <w:rFonts w:ascii="Book Antiqua" w:hAnsi="Book Antiqua"/>
                <w:szCs w:val="20"/>
                <w:lang w:eastAsia="id-ID"/>
              </w:rPr>
              <w:t>19</w:t>
            </w:r>
          </w:p>
        </w:tc>
        <w:tc>
          <w:tcPr>
            <w:tcW w:w="709" w:type="dxa"/>
            <w:tcBorders>
              <w:top w:val="single" w:sz="4" w:space="0" w:color="auto"/>
            </w:tcBorders>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214</w:t>
            </w:r>
          </w:p>
        </w:tc>
        <w:tc>
          <w:tcPr>
            <w:tcW w:w="1134" w:type="dxa"/>
            <w:tcBorders>
              <w:top w:val="single" w:sz="4" w:space="0" w:color="auto"/>
            </w:tcBorders>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0.193</w:t>
            </w:r>
          </w:p>
        </w:tc>
        <w:tc>
          <w:tcPr>
            <w:tcW w:w="1134" w:type="dxa"/>
            <w:tcBorders>
              <w:top w:val="single" w:sz="4" w:space="0" w:color="auto"/>
            </w:tcBorders>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257.740</w:t>
            </w:r>
          </w:p>
        </w:tc>
        <w:tc>
          <w:tcPr>
            <w:tcW w:w="1134" w:type="dxa"/>
            <w:tcBorders>
              <w:top w:val="single" w:sz="4" w:space="0" w:color="auto"/>
            </w:tcBorders>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8.069</w:t>
            </w:r>
          </w:p>
        </w:tc>
        <w:tc>
          <w:tcPr>
            <w:tcW w:w="1559" w:type="dxa"/>
            <w:tcBorders>
              <w:top w:val="single" w:sz="4" w:space="0" w:color="auto"/>
            </w:tcBorders>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29.263</w:t>
            </w:r>
          </w:p>
        </w:tc>
      </w:tr>
      <w:tr w:rsidR="00C373BA" w:rsidTr="006D7423">
        <w:trPr>
          <w:cantSplit/>
        </w:trPr>
        <w:tc>
          <w:tcPr>
            <w:tcW w:w="2410" w:type="dxa"/>
            <w:shd w:val="clear" w:color="auto" w:fill="auto"/>
          </w:tcPr>
          <w:p w:rsidR="00FE324D" w:rsidRPr="00FE324D" w:rsidRDefault="00E90A84" w:rsidP="0090289B">
            <w:pPr>
              <w:autoSpaceDE w:val="0"/>
              <w:autoSpaceDN w:val="0"/>
              <w:adjustRightInd w:val="0"/>
              <w:ind w:left="60" w:right="60"/>
              <w:rPr>
                <w:rFonts w:ascii="Book Antiqua" w:hAnsi="Book Antiqua"/>
                <w:szCs w:val="20"/>
                <w:lang w:eastAsia="id-ID"/>
              </w:rPr>
            </w:pPr>
            <w:r>
              <w:rPr>
                <w:rFonts w:ascii="Book Antiqua" w:hAnsi="Book Antiqua"/>
                <w:szCs w:val="20"/>
                <w:lang w:eastAsia="id-ID"/>
              </w:rPr>
              <w:t>CR_</w:t>
            </w:r>
            <w:r>
              <w:rPr>
                <w:rFonts w:ascii="Book Antiqua" w:hAnsi="Book Antiqua"/>
                <w:szCs w:val="20"/>
                <w:lang w:val="id-ID" w:eastAsia="id-ID"/>
              </w:rPr>
              <w:t>during</w:t>
            </w:r>
            <w:r w:rsidRPr="00FE324D">
              <w:rPr>
                <w:rFonts w:ascii="Book Antiqua" w:hAnsi="Book Antiqua"/>
                <w:szCs w:val="20"/>
                <w:lang w:eastAsia="id-ID"/>
              </w:rPr>
              <w:t xml:space="preserve"> CO</w:t>
            </w:r>
            <w:r>
              <w:rPr>
                <w:rFonts w:ascii="Book Antiqua" w:hAnsi="Book Antiqua"/>
                <w:szCs w:val="20"/>
                <w:lang w:eastAsia="id-ID"/>
              </w:rPr>
              <w:t>VID</w:t>
            </w:r>
            <w:r>
              <w:rPr>
                <w:rFonts w:ascii="Book Antiqua" w:hAnsi="Book Antiqua"/>
                <w:szCs w:val="20"/>
                <w:lang w:val="id-ID" w:eastAsia="id-ID"/>
              </w:rPr>
              <w:t>-</w:t>
            </w:r>
            <w:r w:rsidRPr="00FE324D">
              <w:rPr>
                <w:rFonts w:ascii="Book Antiqua" w:hAnsi="Book Antiqua"/>
                <w:szCs w:val="20"/>
                <w:lang w:eastAsia="id-ID"/>
              </w:rPr>
              <w:t>19</w:t>
            </w:r>
          </w:p>
        </w:tc>
        <w:tc>
          <w:tcPr>
            <w:tcW w:w="709"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214</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0.113</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120.045</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5.201</w:t>
            </w:r>
          </w:p>
        </w:tc>
        <w:tc>
          <w:tcPr>
            <w:tcW w:w="1559"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16.188</w:t>
            </w:r>
          </w:p>
        </w:tc>
      </w:tr>
      <w:tr w:rsidR="00C373BA" w:rsidTr="006D7423">
        <w:trPr>
          <w:cantSplit/>
        </w:trPr>
        <w:tc>
          <w:tcPr>
            <w:tcW w:w="2410" w:type="dxa"/>
            <w:shd w:val="clear" w:color="auto" w:fill="auto"/>
          </w:tcPr>
          <w:p w:rsidR="00FE324D" w:rsidRPr="00FE324D" w:rsidRDefault="00E90A84" w:rsidP="0090289B">
            <w:pPr>
              <w:autoSpaceDE w:val="0"/>
              <w:autoSpaceDN w:val="0"/>
              <w:adjustRightInd w:val="0"/>
              <w:ind w:left="60" w:right="60"/>
              <w:rPr>
                <w:rFonts w:ascii="Book Antiqua" w:hAnsi="Book Antiqua"/>
                <w:szCs w:val="20"/>
                <w:lang w:eastAsia="id-ID"/>
              </w:rPr>
            </w:pPr>
            <w:r>
              <w:rPr>
                <w:rFonts w:ascii="Book Antiqua" w:hAnsi="Book Antiqua"/>
                <w:szCs w:val="20"/>
                <w:lang w:eastAsia="id-ID"/>
              </w:rPr>
              <w:t>DER_</w:t>
            </w:r>
            <w:r>
              <w:rPr>
                <w:rFonts w:ascii="Book Antiqua" w:hAnsi="Book Antiqua"/>
                <w:szCs w:val="20"/>
                <w:lang w:val="id-ID" w:eastAsia="id-ID"/>
              </w:rPr>
              <w:t>before</w:t>
            </w:r>
            <w:r>
              <w:rPr>
                <w:rFonts w:ascii="Book Antiqua" w:hAnsi="Book Antiqua"/>
                <w:szCs w:val="20"/>
                <w:lang w:eastAsia="id-ID"/>
              </w:rPr>
              <w:t xml:space="preserve"> COVID</w:t>
            </w:r>
            <w:r>
              <w:rPr>
                <w:rFonts w:ascii="Book Antiqua" w:hAnsi="Book Antiqua"/>
                <w:szCs w:val="20"/>
                <w:lang w:val="id-ID" w:eastAsia="id-ID"/>
              </w:rPr>
              <w:t>-</w:t>
            </w:r>
            <w:r w:rsidRPr="00FE324D">
              <w:rPr>
                <w:rFonts w:ascii="Book Antiqua" w:hAnsi="Book Antiqua"/>
                <w:szCs w:val="20"/>
                <w:lang w:eastAsia="id-ID"/>
              </w:rPr>
              <w:t>19</w:t>
            </w:r>
          </w:p>
        </w:tc>
        <w:tc>
          <w:tcPr>
            <w:tcW w:w="709"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214</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0.010</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10.535</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1.408</w:t>
            </w:r>
          </w:p>
        </w:tc>
        <w:tc>
          <w:tcPr>
            <w:tcW w:w="1559"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1.665</w:t>
            </w:r>
          </w:p>
        </w:tc>
      </w:tr>
      <w:tr w:rsidR="00C373BA" w:rsidTr="006D7423">
        <w:trPr>
          <w:cantSplit/>
        </w:trPr>
        <w:tc>
          <w:tcPr>
            <w:tcW w:w="2410" w:type="dxa"/>
            <w:shd w:val="clear" w:color="auto" w:fill="auto"/>
          </w:tcPr>
          <w:p w:rsidR="00FE324D" w:rsidRPr="00FE324D" w:rsidRDefault="00E90A84" w:rsidP="0090289B">
            <w:pPr>
              <w:autoSpaceDE w:val="0"/>
              <w:autoSpaceDN w:val="0"/>
              <w:adjustRightInd w:val="0"/>
              <w:ind w:left="60" w:right="60"/>
              <w:rPr>
                <w:rFonts w:ascii="Book Antiqua" w:hAnsi="Book Antiqua"/>
                <w:szCs w:val="20"/>
                <w:lang w:eastAsia="id-ID"/>
              </w:rPr>
            </w:pPr>
            <w:r>
              <w:rPr>
                <w:rFonts w:ascii="Book Antiqua" w:hAnsi="Book Antiqua"/>
                <w:szCs w:val="20"/>
                <w:lang w:eastAsia="id-ID"/>
              </w:rPr>
              <w:t>DER_</w:t>
            </w:r>
            <w:r>
              <w:rPr>
                <w:rFonts w:ascii="Book Antiqua" w:hAnsi="Book Antiqua"/>
                <w:szCs w:val="20"/>
                <w:lang w:val="id-ID" w:eastAsia="id-ID"/>
              </w:rPr>
              <w:t>during</w:t>
            </w:r>
            <w:r>
              <w:rPr>
                <w:rFonts w:ascii="Book Antiqua" w:hAnsi="Book Antiqua"/>
                <w:szCs w:val="20"/>
                <w:lang w:eastAsia="id-ID"/>
              </w:rPr>
              <w:t xml:space="preserve"> COVID</w:t>
            </w:r>
            <w:r>
              <w:rPr>
                <w:rFonts w:ascii="Book Antiqua" w:hAnsi="Book Antiqua"/>
                <w:szCs w:val="20"/>
                <w:lang w:val="id-ID" w:eastAsia="id-ID"/>
              </w:rPr>
              <w:t>-</w:t>
            </w:r>
            <w:r w:rsidRPr="00FE324D">
              <w:rPr>
                <w:rFonts w:ascii="Book Antiqua" w:hAnsi="Book Antiqua"/>
                <w:szCs w:val="20"/>
                <w:lang w:eastAsia="id-ID"/>
              </w:rPr>
              <w:t>19</w:t>
            </w:r>
          </w:p>
        </w:tc>
        <w:tc>
          <w:tcPr>
            <w:tcW w:w="709"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214</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0.005</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16.395</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1.482</w:t>
            </w:r>
          </w:p>
        </w:tc>
        <w:tc>
          <w:tcPr>
            <w:tcW w:w="1559"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2.169</w:t>
            </w:r>
          </w:p>
        </w:tc>
      </w:tr>
      <w:tr w:rsidR="00C373BA" w:rsidTr="006D7423">
        <w:trPr>
          <w:cantSplit/>
        </w:trPr>
        <w:tc>
          <w:tcPr>
            <w:tcW w:w="2410" w:type="dxa"/>
            <w:shd w:val="clear" w:color="auto" w:fill="auto"/>
          </w:tcPr>
          <w:p w:rsidR="00FE324D" w:rsidRPr="00FE324D" w:rsidRDefault="00E90A84" w:rsidP="0090289B">
            <w:pPr>
              <w:autoSpaceDE w:val="0"/>
              <w:autoSpaceDN w:val="0"/>
              <w:adjustRightInd w:val="0"/>
              <w:ind w:left="60" w:right="60"/>
              <w:rPr>
                <w:rFonts w:ascii="Book Antiqua" w:hAnsi="Book Antiqua"/>
                <w:szCs w:val="20"/>
                <w:lang w:eastAsia="id-ID"/>
              </w:rPr>
            </w:pPr>
            <w:r>
              <w:rPr>
                <w:rFonts w:ascii="Book Antiqua" w:hAnsi="Book Antiqua"/>
                <w:szCs w:val="20"/>
                <w:lang w:eastAsia="id-ID"/>
              </w:rPr>
              <w:t>ROA_</w:t>
            </w:r>
            <w:r>
              <w:rPr>
                <w:rFonts w:ascii="Book Antiqua" w:hAnsi="Book Antiqua"/>
                <w:szCs w:val="20"/>
                <w:lang w:val="id-ID" w:eastAsia="id-ID"/>
              </w:rPr>
              <w:t>before</w:t>
            </w:r>
            <w:r>
              <w:rPr>
                <w:rFonts w:ascii="Book Antiqua" w:hAnsi="Book Antiqua"/>
                <w:szCs w:val="20"/>
                <w:lang w:eastAsia="id-ID"/>
              </w:rPr>
              <w:t xml:space="preserve"> COVID</w:t>
            </w:r>
            <w:r>
              <w:rPr>
                <w:rFonts w:ascii="Book Antiqua" w:hAnsi="Book Antiqua"/>
                <w:szCs w:val="20"/>
                <w:lang w:val="id-ID" w:eastAsia="id-ID"/>
              </w:rPr>
              <w:t>-</w:t>
            </w:r>
            <w:r w:rsidRPr="00FE324D">
              <w:rPr>
                <w:rFonts w:ascii="Book Antiqua" w:hAnsi="Book Antiqua"/>
                <w:szCs w:val="20"/>
                <w:lang w:eastAsia="id-ID"/>
              </w:rPr>
              <w:t>19</w:t>
            </w:r>
          </w:p>
        </w:tc>
        <w:tc>
          <w:tcPr>
            <w:tcW w:w="709"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214</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-0.037</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0.097</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0.011</w:t>
            </w:r>
          </w:p>
        </w:tc>
        <w:tc>
          <w:tcPr>
            <w:tcW w:w="1559"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0.021</w:t>
            </w:r>
          </w:p>
        </w:tc>
      </w:tr>
      <w:tr w:rsidR="00C373BA" w:rsidTr="006D7423">
        <w:trPr>
          <w:cantSplit/>
        </w:trPr>
        <w:tc>
          <w:tcPr>
            <w:tcW w:w="2410" w:type="dxa"/>
            <w:shd w:val="clear" w:color="auto" w:fill="auto"/>
          </w:tcPr>
          <w:p w:rsidR="00FE324D" w:rsidRPr="00FE324D" w:rsidRDefault="00E90A84" w:rsidP="0090289B">
            <w:pPr>
              <w:autoSpaceDE w:val="0"/>
              <w:autoSpaceDN w:val="0"/>
              <w:adjustRightInd w:val="0"/>
              <w:ind w:left="60" w:right="60"/>
              <w:rPr>
                <w:rFonts w:ascii="Book Antiqua" w:hAnsi="Book Antiqua"/>
                <w:szCs w:val="20"/>
                <w:lang w:eastAsia="id-ID"/>
              </w:rPr>
            </w:pPr>
            <w:r>
              <w:rPr>
                <w:rFonts w:ascii="Book Antiqua" w:hAnsi="Book Antiqua"/>
                <w:szCs w:val="20"/>
                <w:lang w:eastAsia="id-ID"/>
              </w:rPr>
              <w:t>ROA_</w:t>
            </w:r>
            <w:r>
              <w:rPr>
                <w:rFonts w:ascii="Book Antiqua" w:hAnsi="Book Antiqua"/>
                <w:szCs w:val="20"/>
                <w:lang w:val="id-ID" w:eastAsia="id-ID"/>
              </w:rPr>
              <w:t>during</w:t>
            </w:r>
            <w:r>
              <w:rPr>
                <w:rFonts w:ascii="Book Antiqua" w:hAnsi="Book Antiqua"/>
                <w:szCs w:val="20"/>
                <w:lang w:eastAsia="id-ID"/>
              </w:rPr>
              <w:t xml:space="preserve"> COVID</w:t>
            </w:r>
            <w:r>
              <w:rPr>
                <w:rFonts w:ascii="Book Antiqua" w:hAnsi="Book Antiqua"/>
                <w:szCs w:val="20"/>
                <w:lang w:val="id-ID" w:eastAsia="id-ID"/>
              </w:rPr>
              <w:t>-</w:t>
            </w:r>
            <w:r w:rsidRPr="00FE324D">
              <w:rPr>
                <w:rFonts w:ascii="Book Antiqua" w:hAnsi="Book Antiqua"/>
                <w:szCs w:val="20"/>
                <w:lang w:eastAsia="id-ID"/>
              </w:rPr>
              <w:t>19</w:t>
            </w:r>
          </w:p>
        </w:tc>
        <w:tc>
          <w:tcPr>
            <w:tcW w:w="709"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214</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-0.534</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2.269</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0.004</w:t>
            </w:r>
          </w:p>
        </w:tc>
        <w:tc>
          <w:tcPr>
            <w:tcW w:w="1559"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val="id-ID" w:eastAsia="id-ID"/>
              </w:rPr>
            </w:pPr>
            <w:r w:rsidRPr="00FE324D">
              <w:rPr>
                <w:rFonts w:ascii="Book Antiqua" w:hAnsi="Book Antiqua"/>
                <w:szCs w:val="20"/>
                <w:lang w:eastAsia="id-ID"/>
              </w:rPr>
              <w:t>0.</w:t>
            </w:r>
            <w:r w:rsidRPr="00FE324D">
              <w:rPr>
                <w:rFonts w:ascii="Book Antiqua" w:hAnsi="Book Antiqua"/>
                <w:szCs w:val="20"/>
                <w:lang w:val="id-ID" w:eastAsia="id-ID"/>
              </w:rPr>
              <w:t>347</w:t>
            </w:r>
          </w:p>
        </w:tc>
      </w:tr>
      <w:tr w:rsidR="00C373BA" w:rsidTr="006D7423">
        <w:trPr>
          <w:cantSplit/>
        </w:trPr>
        <w:tc>
          <w:tcPr>
            <w:tcW w:w="2410" w:type="dxa"/>
            <w:shd w:val="clear" w:color="auto" w:fill="auto"/>
          </w:tcPr>
          <w:p w:rsidR="00FE324D" w:rsidRPr="00FE324D" w:rsidRDefault="00E90A84" w:rsidP="0090289B">
            <w:pPr>
              <w:autoSpaceDE w:val="0"/>
              <w:autoSpaceDN w:val="0"/>
              <w:adjustRightInd w:val="0"/>
              <w:ind w:left="60" w:right="60"/>
              <w:rPr>
                <w:rFonts w:ascii="Book Antiqua" w:hAnsi="Book Antiqua"/>
                <w:szCs w:val="20"/>
                <w:lang w:eastAsia="id-ID"/>
              </w:rPr>
            </w:pPr>
            <w:r>
              <w:rPr>
                <w:rFonts w:ascii="Book Antiqua" w:hAnsi="Book Antiqua"/>
                <w:szCs w:val="20"/>
                <w:lang w:eastAsia="id-ID"/>
              </w:rPr>
              <w:t>RTO_</w:t>
            </w:r>
            <w:r>
              <w:rPr>
                <w:rFonts w:ascii="Book Antiqua" w:hAnsi="Book Antiqua"/>
                <w:szCs w:val="20"/>
                <w:lang w:val="id-ID" w:eastAsia="id-ID"/>
              </w:rPr>
              <w:t>before</w:t>
            </w:r>
            <w:r>
              <w:rPr>
                <w:rFonts w:ascii="Book Antiqua" w:hAnsi="Book Antiqua"/>
                <w:szCs w:val="20"/>
                <w:lang w:eastAsia="id-ID"/>
              </w:rPr>
              <w:t xml:space="preserve"> COVID</w:t>
            </w:r>
            <w:r>
              <w:rPr>
                <w:rFonts w:ascii="Book Antiqua" w:hAnsi="Book Antiqua"/>
                <w:szCs w:val="20"/>
                <w:lang w:val="id-ID" w:eastAsia="id-ID"/>
              </w:rPr>
              <w:t>-</w:t>
            </w:r>
            <w:r w:rsidRPr="00FE324D">
              <w:rPr>
                <w:rFonts w:ascii="Book Antiqua" w:hAnsi="Book Antiqua"/>
                <w:szCs w:val="20"/>
                <w:lang w:eastAsia="id-ID"/>
              </w:rPr>
              <w:t>19</w:t>
            </w:r>
          </w:p>
        </w:tc>
        <w:tc>
          <w:tcPr>
            <w:tcW w:w="709"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214</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0.001</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44.292</w:t>
            </w:r>
          </w:p>
        </w:tc>
        <w:tc>
          <w:tcPr>
            <w:tcW w:w="1134"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3.826</w:t>
            </w:r>
          </w:p>
        </w:tc>
        <w:tc>
          <w:tcPr>
            <w:tcW w:w="1559" w:type="dxa"/>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7.215</w:t>
            </w:r>
          </w:p>
        </w:tc>
      </w:tr>
      <w:tr w:rsidR="00C373BA" w:rsidTr="006D7423">
        <w:trPr>
          <w:cantSplit/>
        </w:trPr>
        <w:tc>
          <w:tcPr>
            <w:tcW w:w="2410" w:type="dxa"/>
            <w:tcBorders>
              <w:bottom w:val="single" w:sz="4" w:space="0" w:color="auto"/>
            </w:tcBorders>
            <w:shd w:val="clear" w:color="auto" w:fill="auto"/>
          </w:tcPr>
          <w:p w:rsidR="00FE324D" w:rsidRPr="00FE324D" w:rsidRDefault="00E90A84" w:rsidP="0090289B">
            <w:pPr>
              <w:autoSpaceDE w:val="0"/>
              <w:autoSpaceDN w:val="0"/>
              <w:adjustRightInd w:val="0"/>
              <w:ind w:left="60" w:right="60"/>
              <w:rPr>
                <w:rFonts w:ascii="Book Antiqua" w:hAnsi="Book Antiqua"/>
                <w:szCs w:val="20"/>
                <w:lang w:eastAsia="id-ID"/>
              </w:rPr>
            </w:pPr>
            <w:r>
              <w:rPr>
                <w:rFonts w:ascii="Book Antiqua" w:hAnsi="Book Antiqua"/>
                <w:szCs w:val="20"/>
                <w:lang w:eastAsia="id-ID"/>
              </w:rPr>
              <w:t>RTO_</w:t>
            </w:r>
            <w:r>
              <w:rPr>
                <w:rFonts w:ascii="Book Antiqua" w:hAnsi="Book Antiqua"/>
                <w:szCs w:val="20"/>
                <w:lang w:val="id-ID" w:eastAsia="id-ID"/>
              </w:rPr>
              <w:t>during</w:t>
            </w:r>
            <w:r>
              <w:rPr>
                <w:rFonts w:ascii="Book Antiqua" w:hAnsi="Book Antiqua"/>
                <w:szCs w:val="20"/>
                <w:lang w:eastAsia="id-ID"/>
              </w:rPr>
              <w:t xml:space="preserve"> COVID</w:t>
            </w:r>
            <w:r>
              <w:rPr>
                <w:rFonts w:ascii="Book Antiqua" w:hAnsi="Book Antiqua"/>
                <w:szCs w:val="20"/>
                <w:lang w:val="id-ID" w:eastAsia="id-ID"/>
              </w:rPr>
              <w:t>-</w:t>
            </w:r>
            <w:r w:rsidRPr="00FE324D">
              <w:rPr>
                <w:rFonts w:ascii="Book Antiqua" w:hAnsi="Book Antiqua"/>
                <w:szCs w:val="20"/>
                <w:lang w:eastAsia="id-ID"/>
              </w:rPr>
              <w:t>19</w:t>
            </w:r>
          </w:p>
        </w:tc>
        <w:tc>
          <w:tcPr>
            <w:tcW w:w="709" w:type="dxa"/>
            <w:tcBorders>
              <w:bottom w:val="single" w:sz="4" w:space="0" w:color="auto"/>
            </w:tcBorders>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214</w:t>
            </w:r>
          </w:p>
        </w:tc>
        <w:tc>
          <w:tcPr>
            <w:tcW w:w="1134" w:type="dxa"/>
            <w:tcBorders>
              <w:bottom w:val="single" w:sz="4" w:space="0" w:color="auto"/>
            </w:tcBorders>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0.001</w:t>
            </w:r>
          </w:p>
        </w:tc>
        <w:tc>
          <w:tcPr>
            <w:tcW w:w="1134" w:type="dxa"/>
            <w:tcBorders>
              <w:bottom w:val="single" w:sz="4" w:space="0" w:color="auto"/>
            </w:tcBorders>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42.822</w:t>
            </w:r>
          </w:p>
        </w:tc>
        <w:tc>
          <w:tcPr>
            <w:tcW w:w="1134" w:type="dxa"/>
            <w:tcBorders>
              <w:bottom w:val="single" w:sz="4" w:space="0" w:color="auto"/>
            </w:tcBorders>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5.870</w:t>
            </w:r>
          </w:p>
        </w:tc>
        <w:tc>
          <w:tcPr>
            <w:tcW w:w="1559" w:type="dxa"/>
            <w:tcBorders>
              <w:bottom w:val="single" w:sz="4" w:space="0" w:color="auto"/>
            </w:tcBorders>
            <w:shd w:val="clear" w:color="auto" w:fill="FFFFFF"/>
          </w:tcPr>
          <w:p w:rsidR="00FE324D" w:rsidRPr="00FE324D" w:rsidRDefault="00E90A84" w:rsidP="00B901A9">
            <w:pPr>
              <w:autoSpaceDE w:val="0"/>
              <w:autoSpaceDN w:val="0"/>
              <w:adjustRightInd w:val="0"/>
              <w:ind w:left="60" w:right="60"/>
              <w:jc w:val="left"/>
              <w:rPr>
                <w:rFonts w:ascii="Book Antiqua" w:hAnsi="Book Antiqua"/>
                <w:szCs w:val="20"/>
                <w:lang w:eastAsia="id-ID"/>
              </w:rPr>
            </w:pPr>
            <w:r w:rsidRPr="00FE324D">
              <w:rPr>
                <w:rFonts w:ascii="Book Antiqua" w:hAnsi="Book Antiqua"/>
                <w:szCs w:val="20"/>
                <w:lang w:eastAsia="id-ID"/>
              </w:rPr>
              <w:t>8.219</w:t>
            </w:r>
          </w:p>
        </w:tc>
      </w:tr>
    </w:tbl>
    <w:p w:rsidR="00FE324D" w:rsidRPr="00D943B3" w:rsidRDefault="00E90A84" w:rsidP="00D943B3">
      <w:pPr>
        <w:pStyle w:val="Ventura-Content"/>
        <w:ind w:left="720" w:firstLine="0"/>
        <w:rPr>
          <w:color w:val="000000"/>
          <w:szCs w:val="20"/>
        </w:rPr>
      </w:pPr>
      <w:r w:rsidRPr="00D943B3">
        <w:rPr>
          <w:color w:val="000000"/>
          <w:sz w:val="18"/>
          <w:szCs w:val="20"/>
        </w:rPr>
        <w:t>Note: CR is current ratio, DER is debt to equity ratio, ROA is return on assets, and RTO is receivable turnover</w:t>
      </w:r>
    </w:p>
    <w:p w:rsidR="00D943B3" w:rsidRDefault="00D943B3" w:rsidP="003419A2">
      <w:pPr>
        <w:pStyle w:val="Ventura-Content"/>
        <w:ind w:firstLine="0"/>
        <w:rPr>
          <w:b/>
          <w:i/>
          <w:color w:val="000000"/>
          <w:szCs w:val="20"/>
          <w:lang w:val="id-ID"/>
        </w:rPr>
      </w:pPr>
    </w:p>
    <w:p w:rsidR="00587B0D" w:rsidRDefault="00E90A84" w:rsidP="003419A2">
      <w:pPr>
        <w:pStyle w:val="Ventura-Content"/>
        <w:ind w:firstLine="0"/>
        <w:rPr>
          <w:b/>
          <w:i/>
          <w:color w:val="000000"/>
          <w:szCs w:val="20"/>
          <w:lang w:val="id-ID"/>
        </w:rPr>
      </w:pPr>
      <w:r w:rsidRPr="00587B0D">
        <w:rPr>
          <w:b/>
          <w:i/>
          <w:color w:val="000000"/>
          <w:szCs w:val="20"/>
          <w:lang w:val="id-ID"/>
        </w:rPr>
        <w:t>Data Normality Test</w:t>
      </w:r>
    </w:p>
    <w:p w:rsidR="00587B0D" w:rsidRPr="00587B0D" w:rsidRDefault="00E90A84" w:rsidP="003419A2">
      <w:pPr>
        <w:pStyle w:val="Ventura-Content"/>
        <w:ind w:firstLine="0"/>
        <w:rPr>
          <w:color w:val="000000"/>
          <w:szCs w:val="20"/>
          <w:lang w:val="id-ID"/>
        </w:rPr>
      </w:pPr>
      <w:r w:rsidRPr="00256EEC">
        <w:rPr>
          <w:color w:val="000000"/>
          <w:szCs w:val="20"/>
        </w:rPr>
        <w:t>The results of the Shapiro-Wilk normality tes</w:t>
      </w:r>
      <w:r>
        <w:rPr>
          <w:color w:val="000000"/>
          <w:szCs w:val="20"/>
        </w:rPr>
        <w:t xml:space="preserve">t, presented in Table 4, show that the research data </w:t>
      </w:r>
      <w:r>
        <w:rPr>
          <w:color w:val="000000"/>
          <w:szCs w:val="20"/>
          <w:lang w:val="id-ID"/>
        </w:rPr>
        <w:t>were</w:t>
      </w:r>
      <w:r w:rsidRPr="00256EEC">
        <w:rPr>
          <w:color w:val="000000"/>
          <w:szCs w:val="20"/>
        </w:rPr>
        <w:t xml:space="preserve"> not normally distributed with the significance value</w:t>
      </w:r>
      <w:r>
        <w:rPr>
          <w:color w:val="000000"/>
          <w:szCs w:val="20"/>
          <w:lang w:val="id-ID"/>
        </w:rPr>
        <w:t xml:space="preserve"> of</w:t>
      </w:r>
      <w:r w:rsidRPr="00256EEC">
        <w:rPr>
          <w:color w:val="000000"/>
          <w:szCs w:val="20"/>
        </w:rPr>
        <w:t xml:space="preserve"> &lt;0.05 or 0.00 on each observation, as shown in Table 4.</w:t>
      </w:r>
      <w:r>
        <w:rPr>
          <w:color w:val="000000"/>
          <w:szCs w:val="20"/>
          <w:lang w:val="id-ID"/>
        </w:rPr>
        <w:t xml:space="preserve"> </w:t>
      </w:r>
      <w:r w:rsidRPr="00256EEC">
        <w:rPr>
          <w:color w:val="000000"/>
          <w:szCs w:val="20"/>
        </w:rPr>
        <w:t>The normality test results show that the research dat</w:t>
      </w:r>
      <w:r>
        <w:rPr>
          <w:color w:val="000000"/>
          <w:szCs w:val="20"/>
        </w:rPr>
        <w:t xml:space="preserve">a </w:t>
      </w:r>
      <w:r>
        <w:rPr>
          <w:color w:val="000000"/>
          <w:szCs w:val="20"/>
          <w:lang w:val="id-ID"/>
        </w:rPr>
        <w:t>were</w:t>
      </w:r>
      <w:r w:rsidRPr="00256EEC">
        <w:rPr>
          <w:color w:val="000000"/>
          <w:szCs w:val="20"/>
        </w:rPr>
        <w:t xml:space="preserve"> not normally</w:t>
      </w:r>
      <w:r>
        <w:rPr>
          <w:color w:val="000000"/>
          <w:szCs w:val="20"/>
        </w:rPr>
        <w:t xml:space="preserve"> distributed, so the data </w:t>
      </w:r>
      <w:r>
        <w:rPr>
          <w:color w:val="000000"/>
          <w:szCs w:val="20"/>
          <w:lang w:val="id-ID"/>
        </w:rPr>
        <w:t>could not</w:t>
      </w:r>
      <w:r>
        <w:rPr>
          <w:color w:val="000000"/>
          <w:szCs w:val="20"/>
        </w:rPr>
        <w:t xml:space="preserve"> be </w:t>
      </w:r>
      <w:r>
        <w:rPr>
          <w:color w:val="000000"/>
          <w:szCs w:val="20"/>
          <w:lang w:val="id-ID"/>
        </w:rPr>
        <w:t>tested</w:t>
      </w:r>
      <w:r w:rsidRPr="00256EEC">
        <w:rPr>
          <w:color w:val="000000"/>
          <w:szCs w:val="20"/>
        </w:rPr>
        <w:t xml:space="preserve"> using a parametric statistical test. Therefore, a no</w:t>
      </w:r>
      <w:r>
        <w:rPr>
          <w:color w:val="000000"/>
          <w:szCs w:val="20"/>
        </w:rPr>
        <w:t xml:space="preserve">n-parametric statistical test </w:t>
      </w:r>
      <w:r>
        <w:rPr>
          <w:color w:val="000000"/>
          <w:szCs w:val="20"/>
          <w:lang w:val="id-ID"/>
        </w:rPr>
        <w:t>was</w:t>
      </w:r>
      <w:r w:rsidRPr="00256EEC">
        <w:rPr>
          <w:color w:val="000000"/>
          <w:szCs w:val="20"/>
        </w:rPr>
        <w:t xml:space="preserve"> done using the Wilcoxon signed-rank. </w:t>
      </w:r>
    </w:p>
    <w:p w:rsidR="003419A2" w:rsidRDefault="00E90A84" w:rsidP="00C1168B">
      <w:pPr>
        <w:pStyle w:val="Ventura-Content"/>
        <w:ind w:firstLine="0"/>
        <w:jc w:val="center"/>
        <w:rPr>
          <w:color w:val="000000"/>
          <w:szCs w:val="20"/>
          <w:lang w:val="id-ID"/>
        </w:rPr>
      </w:pPr>
      <w:r w:rsidRPr="00256EEC">
        <w:rPr>
          <w:color w:val="000000"/>
          <w:szCs w:val="20"/>
        </w:rPr>
        <w:t>Table 4</w:t>
      </w:r>
      <w:r w:rsidR="00C1168B">
        <w:rPr>
          <w:color w:val="000000"/>
          <w:szCs w:val="20"/>
          <w:lang w:val="id-ID"/>
        </w:rPr>
        <w:t>.</w:t>
      </w:r>
      <w:r w:rsidRPr="00256EEC">
        <w:rPr>
          <w:color w:val="000000"/>
          <w:szCs w:val="20"/>
        </w:rPr>
        <w:t xml:space="preserve"> </w:t>
      </w:r>
      <w:r w:rsidR="00C1168B" w:rsidRPr="00256EEC">
        <w:rPr>
          <w:color w:val="000000"/>
          <w:szCs w:val="20"/>
        </w:rPr>
        <w:t>Normality test results</w:t>
      </w:r>
    </w:p>
    <w:tbl>
      <w:tblPr>
        <w:tblW w:w="8080" w:type="dxa"/>
        <w:tblInd w:w="567" w:type="dxa"/>
        <w:tblLayout w:type="fixed"/>
        <w:tblCellMar>
          <w:left w:w="0" w:type="dxa"/>
          <w:right w:w="0" w:type="dxa"/>
        </w:tblCellMar>
        <w:tblLook w:val="04A0" w:firstRow="1" w:lastRow="0" w:firstColumn="1" w:lastColumn="0" w:noHBand="0" w:noVBand="1"/>
      </w:tblPr>
      <w:tblGrid>
        <w:gridCol w:w="2410"/>
        <w:gridCol w:w="992"/>
        <w:gridCol w:w="993"/>
        <w:gridCol w:w="850"/>
        <w:gridCol w:w="851"/>
        <w:gridCol w:w="992"/>
        <w:gridCol w:w="992"/>
      </w:tblGrid>
      <w:tr w:rsidR="00C373BA" w:rsidTr="006D7423">
        <w:trPr>
          <w:cantSplit/>
          <w:trHeight w:val="405"/>
        </w:trPr>
        <w:tc>
          <w:tcPr>
            <w:tcW w:w="2410" w:type="dxa"/>
            <w:tcBorders>
              <w:top w:val="single" w:sz="4" w:space="0" w:color="auto"/>
            </w:tcBorders>
            <w:shd w:val="clear" w:color="auto" w:fill="FFFFFF"/>
            <w:vAlign w:val="bottom"/>
          </w:tcPr>
          <w:p w:rsidR="00760B25" w:rsidRPr="00C1168B" w:rsidRDefault="00760B25" w:rsidP="0090289B">
            <w:pPr>
              <w:autoSpaceDE w:val="0"/>
              <w:autoSpaceDN w:val="0"/>
              <w:adjustRightInd w:val="0"/>
              <w:jc w:val="left"/>
              <w:rPr>
                <w:rFonts w:ascii="Book Antiqua" w:hAnsi="Book Antiqua"/>
                <w:szCs w:val="20"/>
                <w:lang w:val="id-ID" w:eastAsia="id-ID"/>
              </w:rPr>
            </w:pPr>
          </w:p>
        </w:tc>
        <w:tc>
          <w:tcPr>
            <w:tcW w:w="2835" w:type="dxa"/>
            <w:gridSpan w:val="3"/>
            <w:tcBorders>
              <w:top w:val="single" w:sz="4" w:space="0" w:color="auto"/>
              <w:bottom w:val="single" w:sz="4" w:space="0" w:color="auto"/>
            </w:tcBorders>
            <w:shd w:val="clear" w:color="auto" w:fill="FFFFFF"/>
            <w:vAlign w:val="bottom"/>
            <w:hideMark/>
          </w:tcPr>
          <w:p w:rsidR="00760B25" w:rsidRPr="00C1168B" w:rsidRDefault="00E90A84" w:rsidP="0090289B">
            <w:pPr>
              <w:autoSpaceDE w:val="0"/>
              <w:autoSpaceDN w:val="0"/>
              <w:adjustRightInd w:val="0"/>
              <w:ind w:left="60" w:right="60"/>
              <w:jc w:val="center"/>
              <w:rPr>
                <w:rFonts w:ascii="Book Antiqua" w:hAnsi="Book Antiqua"/>
                <w:szCs w:val="20"/>
                <w:lang w:val="id-ID" w:eastAsia="id-ID"/>
              </w:rPr>
            </w:pPr>
            <w:r w:rsidRPr="00C1168B">
              <w:rPr>
                <w:rFonts w:ascii="Book Antiqua" w:hAnsi="Book Antiqua"/>
                <w:szCs w:val="20"/>
                <w:lang w:val="id-ID" w:eastAsia="id-ID"/>
              </w:rPr>
              <w:t>Kolmogorov-Smirnov</w:t>
            </w:r>
            <w:r w:rsidRPr="00C1168B">
              <w:rPr>
                <w:rFonts w:ascii="Book Antiqua" w:hAnsi="Book Antiqua"/>
                <w:szCs w:val="20"/>
                <w:vertAlign w:val="superscript"/>
                <w:lang w:val="id-ID" w:eastAsia="id-ID"/>
              </w:rPr>
              <w:t>a</w:t>
            </w:r>
          </w:p>
        </w:tc>
        <w:tc>
          <w:tcPr>
            <w:tcW w:w="2835" w:type="dxa"/>
            <w:gridSpan w:val="3"/>
            <w:tcBorders>
              <w:top w:val="single" w:sz="4" w:space="0" w:color="auto"/>
              <w:bottom w:val="single" w:sz="4" w:space="0" w:color="auto"/>
            </w:tcBorders>
            <w:shd w:val="clear" w:color="auto" w:fill="FFFFFF"/>
            <w:vAlign w:val="bottom"/>
            <w:hideMark/>
          </w:tcPr>
          <w:p w:rsidR="00760B25" w:rsidRPr="00C1168B" w:rsidRDefault="00E90A84" w:rsidP="0090289B">
            <w:pPr>
              <w:autoSpaceDE w:val="0"/>
              <w:autoSpaceDN w:val="0"/>
              <w:adjustRightInd w:val="0"/>
              <w:ind w:left="60" w:right="60"/>
              <w:jc w:val="center"/>
              <w:rPr>
                <w:rFonts w:ascii="Book Antiqua" w:hAnsi="Book Antiqua"/>
                <w:szCs w:val="20"/>
                <w:lang w:val="id-ID" w:eastAsia="id-ID"/>
              </w:rPr>
            </w:pPr>
            <w:r w:rsidRPr="00C1168B">
              <w:rPr>
                <w:rFonts w:ascii="Book Antiqua" w:hAnsi="Book Antiqua"/>
                <w:szCs w:val="20"/>
                <w:lang w:val="id-ID" w:eastAsia="id-ID"/>
              </w:rPr>
              <w:t>Shapiro-Wilk</w:t>
            </w:r>
          </w:p>
        </w:tc>
      </w:tr>
      <w:tr w:rsidR="00C373BA" w:rsidTr="006D7423">
        <w:trPr>
          <w:cantSplit/>
          <w:trHeight w:val="202"/>
        </w:trPr>
        <w:tc>
          <w:tcPr>
            <w:tcW w:w="2410" w:type="dxa"/>
            <w:tcBorders>
              <w:bottom w:val="single" w:sz="4" w:space="0" w:color="auto"/>
            </w:tcBorders>
            <w:shd w:val="clear" w:color="auto" w:fill="FFFFFF"/>
            <w:vAlign w:val="bottom"/>
          </w:tcPr>
          <w:p w:rsidR="00760B25" w:rsidRPr="00C1168B" w:rsidRDefault="00760B25" w:rsidP="0090289B">
            <w:pPr>
              <w:autoSpaceDE w:val="0"/>
              <w:autoSpaceDN w:val="0"/>
              <w:adjustRightInd w:val="0"/>
              <w:jc w:val="left"/>
              <w:rPr>
                <w:rFonts w:ascii="Book Antiqua" w:hAnsi="Book Antiqua"/>
                <w:szCs w:val="20"/>
                <w:lang w:val="id-ID" w:eastAsia="id-ID"/>
              </w:rPr>
            </w:pPr>
          </w:p>
        </w:tc>
        <w:tc>
          <w:tcPr>
            <w:tcW w:w="992" w:type="dxa"/>
            <w:tcBorders>
              <w:top w:val="single" w:sz="4" w:space="0" w:color="auto"/>
              <w:bottom w:val="single" w:sz="4" w:space="0" w:color="auto"/>
            </w:tcBorders>
            <w:shd w:val="clear" w:color="auto" w:fill="FFFFFF"/>
            <w:vAlign w:val="bottom"/>
            <w:hideMark/>
          </w:tcPr>
          <w:p w:rsidR="00760B25" w:rsidRPr="00C1168B" w:rsidRDefault="00E90A84" w:rsidP="0090289B">
            <w:pPr>
              <w:autoSpaceDE w:val="0"/>
              <w:autoSpaceDN w:val="0"/>
              <w:adjustRightInd w:val="0"/>
              <w:ind w:left="60" w:right="60"/>
              <w:jc w:val="center"/>
              <w:rPr>
                <w:rFonts w:ascii="Book Antiqua" w:hAnsi="Book Antiqua"/>
                <w:szCs w:val="20"/>
                <w:lang w:val="id-ID" w:eastAsia="id-ID"/>
              </w:rPr>
            </w:pPr>
            <w:r w:rsidRPr="00C1168B">
              <w:rPr>
                <w:rFonts w:ascii="Book Antiqua" w:hAnsi="Book Antiqua"/>
                <w:szCs w:val="20"/>
                <w:lang w:val="id-ID" w:eastAsia="id-ID"/>
              </w:rPr>
              <w:t>Statistic</w:t>
            </w:r>
          </w:p>
        </w:tc>
        <w:tc>
          <w:tcPr>
            <w:tcW w:w="993" w:type="dxa"/>
            <w:tcBorders>
              <w:top w:val="single" w:sz="4" w:space="0" w:color="auto"/>
              <w:bottom w:val="single" w:sz="4" w:space="0" w:color="auto"/>
            </w:tcBorders>
            <w:shd w:val="clear" w:color="auto" w:fill="FFFFFF"/>
            <w:vAlign w:val="bottom"/>
            <w:hideMark/>
          </w:tcPr>
          <w:p w:rsidR="00760B25" w:rsidRPr="00C1168B" w:rsidRDefault="00E90A84" w:rsidP="0090289B">
            <w:pPr>
              <w:autoSpaceDE w:val="0"/>
              <w:autoSpaceDN w:val="0"/>
              <w:adjustRightInd w:val="0"/>
              <w:ind w:left="60" w:right="60"/>
              <w:jc w:val="center"/>
              <w:rPr>
                <w:rFonts w:ascii="Book Antiqua" w:hAnsi="Book Antiqua"/>
                <w:szCs w:val="20"/>
                <w:lang w:val="id-ID" w:eastAsia="id-ID"/>
              </w:rPr>
            </w:pPr>
            <w:r w:rsidRPr="00C1168B">
              <w:rPr>
                <w:rFonts w:ascii="Book Antiqua" w:hAnsi="Book Antiqua"/>
                <w:szCs w:val="20"/>
                <w:lang w:val="id-ID" w:eastAsia="id-ID"/>
              </w:rPr>
              <w:t>Df</w:t>
            </w:r>
          </w:p>
        </w:tc>
        <w:tc>
          <w:tcPr>
            <w:tcW w:w="850" w:type="dxa"/>
            <w:tcBorders>
              <w:top w:val="single" w:sz="4" w:space="0" w:color="auto"/>
              <w:bottom w:val="single" w:sz="4" w:space="0" w:color="auto"/>
            </w:tcBorders>
            <w:shd w:val="clear" w:color="auto" w:fill="FFFFFF"/>
            <w:vAlign w:val="bottom"/>
            <w:hideMark/>
          </w:tcPr>
          <w:p w:rsidR="00760B25" w:rsidRPr="00C1168B" w:rsidRDefault="00E90A84" w:rsidP="0090289B">
            <w:pPr>
              <w:autoSpaceDE w:val="0"/>
              <w:autoSpaceDN w:val="0"/>
              <w:adjustRightInd w:val="0"/>
              <w:ind w:left="60" w:right="60"/>
              <w:jc w:val="center"/>
              <w:rPr>
                <w:rFonts w:ascii="Book Antiqua" w:hAnsi="Book Antiqua"/>
                <w:szCs w:val="20"/>
                <w:lang w:val="id-ID" w:eastAsia="id-ID"/>
              </w:rPr>
            </w:pPr>
            <w:r w:rsidRPr="00C1168B">
              <w:rPr>
                <w:rFonts w:ascii="Book Antiqua" w:hAnsi="Book Antiqua"/>
                <w:szCs w:val="20"/>
                <w:lang w:val="id-ID" w:eastAsia="id-ID"/>
              </w:rPr>
              <w:t>Sig.</w:t>
            </w:r>
          </w:p>
        </w:tc>
        <w:tc>
          <w:tcPr>
            <w:tcW w:w="851" w:type="dxa"/>
            <w:tcBorders>
              <w:top w:val="single" w:sz="4" w:space="0" w:color="auto"/>
              <w:bottom w:val="single" w:sz="4" w:space="0" w:color="auto"/>
            </w:tcBorders>
            <w:shd w:val="clear" w:color="auto" w:fill="FFFFFF"/>
            <w:vAlign w:val="bottom"/>
            <w:hideMark/>
          </w:tcPr>
          <w:p w:rsidR="00760B25" w:rsidRPr="00C1168B" w:rsidRDefault="00E90A84" w:rsidP="0090289B">
            <w:pPr>
              <w:autoSpaceDE w:val="0"/>
              <w:autoSpaceDN w:val="0"/>
              <w:adjustRightInd w:val="0"/>
              <w:ind w:left="60" w:right="60"/>
              <w:jc w:val="center"/>
              <w:rPr>
                <w:rFonts w:ascii="Book Antiqua" w:hAnsi="Book Antiqua"/>
                <w:szCs w:val="20"/>
                <w:lang w:val="id-ID" w:eastAsia="id-ID"/>
              </w:rPr>
            </w:pPr>
            <w:r w:rsidRPr="00C1168B">
              <w:rPr>
                <w:rFonts w:ascii="Book Antiqua" w:hAnsi="Book Antiqua"/>
                <w:szCs w:val="20"/>
                <w:lang w:val="id-ID" w:eastAsia="id-ID"/>
              </w:rPr>
              <w:t>Statistic</w:t>
            </w:r>
          </w:p>
        </w:tc>
        <w:tc>
          <w:tcPr>
            <w:tcW w:w="992" w:type="dxa"/>
            <w:tcBorders>
              <w:top w:val="single" w:sz="4" w:space="0" w:color="auto"/>
              <w:bottom w:val="single" w:sz="4" w:space="0" w:color="auto"/>
            </w:tcBorders>
            <w:shd w:val="clear" w:color="auto" w:fill="FFFFFF"/>
            <w:vAlign w:val="bottom"/>
            <w:hideMark/>
          </w:tcPr>
          <w:p w:rsidR="00760B25" w:rsidRPr="00C1168B" w:rsidRDefault="00E90A84" w:rsidP="0090289B">
            <w:pPr>
              <w:autoSpaceDE w:val="0"/>
              <w:autoSpaceDN w:val="0"/>
              <w:adjustRightInd w:val="0"/>
              <w:ind w:left="60" w:right="60"/>
              <w:jc w:val="center"/>
              <w:rPr>
                <w:rFonts w:ascii="Book Antiqua" w:hAnsi="Book Antiqua"/>
                <w:szCs w:val="20"/>
                <w:lang w:val="id-ID" w:eastAsia="id-ID"/>
              </w:rPr>
            </w:pPr>
            <w:r w:rsidRPr="00C1168B">
              <w:rPr>
                <w:rFonts w:ascii="Book Antiqua" w:hAnsi="Book Antiqua"/>
                <w:szCs w:val="20"/>
                <w:lang w:val="id-ID" w:eastAsia="id-ID"/>
              </w:rPr>
              <w:t>Df</w:t>
            </w:r>
          </w:p>
        </w:tc>
        <w:tc>
          <w:tcPr>
            <w:tcW w:w="992" w:type="dxa"/>
            <w:tcBorders>
              <w:top w:val="single" w:sz="4" w:space="0" w:color="auto"/>
              <w:bottom w:val="single" w:sz="4" w:space="0" w:color="auto"/>
            </w:tcBorders>
            <w:shd w:val="clear" w:color="auto" w:fill="FFFFFF"/>
            <w:vAlign w:val="bottom"/>
            <w:hideMark/>
          </w:tcPr>
          <w:p w:rsidR="00760B25" w:rsidRPr="00C1168B" w:rsidRDefault="00E90A84" w:rsidP="0090289B">
            <w:pPr>
              <w:autoSpaceDE w:val="0"/>
              <w:autoSpaceDN w:val="0"/>
              <w:adjustRightInd w:val="0"/>
              <w:ind w:left="60" w:right="60"/>
              <w:jc w:val="center"/>
              <w:rPr>
                <w:rFonts w:ascii="Book Antiqua" w:hAnsi="Book Antiqua"/>
                <w:szCs w:val="20"/>
                <w:lang w:val="id-ID" w:eastAsia="id-ID"/>
              </w:rPr>
            </w:pPr>
            <w:r w:rsidRPr="00C1168B">
              <w:rPr>
                <w:rFonts w:ascii="Book Antiqua" w:hAnsi="Book Antiqua"/>
                <w:szCs w:val="20"/>
                <w:lang w:val="id-ID" w:eastAsia="id-ID"/>
              </w:rPr>
              <w:t>Sig.</w:t>
            </w:r>
          </w:p>
        </w:tc>
      </w:tr>
      <w:tr w:rsidR="00C373BA" w:rsidTr="006D7423">
        <w:trPr>
          <w:cantSplit/>
          <w:trHeight w:val="62"/>
        </w:trPr>
        <w:tc>
          <w:tcPr>
            <w:tcW w:w="2410" w:type="dxa"/>
            <w:tcBorders>
              <w:top w:val="single" w:sz="4" w:space="0" w:color="auto"/>
            </w:tcBorders>
            <w:shd w:val="clear" w:color="auto" w:fill="auto"/>
            <w:hideMark/>
          </w:tcPr>
          <w:p w:rsidR="00760B25" w:rsidRPr="00C1168B" w:rsidRDefault="00E90A84" w:rsidP="006D7423">
            <w:pPr>
              <w:autoSpaceDE w:val="0"/>
              <w:autoSpaceDN w:val="0"/>
              <w:adjustRightInd w:val="0"/>
              <w:ind w:left="60" w:right="60"/>
              <w:rPr>
                <w:rFonts w:ascii="Book Antiqua" w:hAnsi="Book Antiqua"/>
                <w:szCs w:val="20"/>
                <w:lang w:eastAsia="id-ID"/>
              </w:rPr>
            </w:pPr>
            <w:r w:rsidRPr="00C1168B">
              <w:rPr>
                <w:rFonts w:ascii="Book Antiqua" w:hAnsi="Book Antiqua"/>
                <w:szCs w:val="20"/>
                <w:lang w:eastAsia="id-ID"/>
              </w:rPr>
              <w:t>CR_</w:t>
            </w:r>
            <w:r w:rsidRPr="00C1168B">
              <w:rPr>
                <w:rFonts w:ascii="Book Antiqua" w:hAnsi="Book Antiqua"/>
                <w:szCs w:val="20"/>
                <w:lang w:val="id-ID" w:eastAsia="id-ID"/>
              </w:rPr>
              <w:t>before</w:t>
            </w:r>
            <w:r w:rsidRPr="00C1168B">
              <w:rPr>
                <w:rFonts w:ascii="Book Antiqua" w:hAnsi="Book Antiqua"/>
                <w:szCs w:val="20"/>
                <w:lang w:eastAsia="id-ID"/>
              </w:rPr>
              <w:t xml:space="preserve"> </w:t>
            </w:r>
            <w:r w:rsidR="00C1168B" w:rsidRPr="00C1168B">
              <w:rPr>
                <w:rFonts w:ascii="Book Antiqua" w:hAnsi="Book Antiqua"/>
                <w:szCs w:val="20"/>
                <w:lang w:eastAsia="id-ID"/>
              </w:rPr>
              <w:t>COVID</w:t>
            </w:r>
            <w:r w:rsidR="00C1168B" w:rsidRPr="00C1168B">
              <w:rPr>
                <w:rFonts w:ascii="Book Antiqua" w:hAnsi="Book Antiqua"/>
                <w:szCs w:val="20"/>
                <w:lang w:val="id-ID" w:eastAsia="id-ID"/>
              </w:rPr>
              <w:t>-</w:t>
            </w:r>
            <w:r w:rsidR="00C1168B" w:rsidRPr="00C1168B">
              <w:rPr>
                <w:rFonts w:ascii="Book Antiqua" w:hAnsi="Book Antiqua"/>
                <w:szCs w:val="20"/>
                <w:lang w:eastAsia="id-ID"/>
              </w:rPr>
              <w:t>19</w:t>
            </w:r>
          </w:p>
        </w:tc>
        <w:tc>
          <w:tcPr>
            <w:tcW w:w="992" w:type="dxa"/>
            <w:tcBorders>
              <w:top w:val="single" w:sz="4" w:space="0" w:color="auto"/>
            </w:tcBorders>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0.406</w:t>
            </w:r>
          </w:p>
        </w:tc>
        <w:tc>
          <w:tcPr>
            <w:tcW w:w="993" w:type="dxa"/>
            <w:tcBorders>
              <w:top w:val="single" w:sz="4" w:space="0" w:color="auto"/>
            </w:tcBorders>
            <w:shd w:val="clear" w:color="auto" w:fill="FFFFFF"/>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214</w:t>
            </w:r>
          </w:p>
        </w:tc>
        <w:tc>
          <w:tcPr>
            <w:tcW w:w="850" w:type="dxa"/>
            <w:tcBorders>
              <w:top w:val="single" w:sz="4" w:space="0" w:color="auto"/>
            </w:tcBorders>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0.000</w:t>
            </w:r>
          </w:p>
        </w:tc>
        <w:tc>
          <w:tcPr>
            <w:tcW w:w="851" w:type="dxa"/>
            <w:tcBorders>
              <w:top w:val="single" w:sz="4" w:space="0" w:color="auto"/>
            </w:tcBorders>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0.346</w:t>
            </w:r>
          </w:p>
        </w:tc>
        <w:tc>
          <w:tcPr>
            <w:tcW w:w="992" w:type="dxa"/>
            <w:tcBorders>
              <w:top w:val="single" w:sz="4" w:space="0" w:color="auto"/>
            </w:tcBorders>
            <w:shd w:val="clear" w:color="auto" w:fill="FFFFFF"/>
            <w:hideMark/>
          </w:tcPr>
          <w:p w:rsidR="00760B25" w:rsidRPr="00C1168B" w:rsidRDefault="00E90A84" w:rsidP="00B901A9">
            <w:pPr>
              <w:jc w:val="left"/>
              <w:rPr>
                <w:rFonts w:ascii="Book Antiqua" w:hAnsi="Book Antiqua"/>
                <w:szCs w:val="20"/>
              </w:rPr>
            </w:pPr>
            <w:r w:rsidRPr="00C1168B">
              <w:rPr>
                <w:rFonts w:ascii="Book Antiqua" w:hAnsi="Book Antiqua"/>
                <w:szCs w:val="20"/>
                <w:lang w:val="id-ID" w:eastAsia="id-ID"/>
              </w:rPr>
              <w:t>214</w:t>
            </w:r>
          </w:p>
        </w:tc>
        <w:tc>
          <w:tcPr>
            <w:tcW w:w="992" w:type="dxa"/>
            <w:tcBorders>
              <w:top w:val="single" w:sz="4" w:space="0" w:color="auto"/>
            </w:tcBorders>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0.000</w:t>
            </w:r>
          </w:p>
        </w:tc>
      </w:tr>
      <w:tr w:rsidR="00C373BA" w:rsidTr="006D7423">
        <w:trPr>
          <w:cantSplit/>
          <w:trHeight w:val="80"/>
        </w:trPr>
        <w:tc>
          <w:tcPr>
            <w:tcW w:w="2410" w:type="dxa"/>
            <w:shd w:val="clear" w:color="auto" w:fill="auto"/>
            <w:hideMark/>
          </w:tcPr>
          <w:p w:rsidR="00760B25" w:rsidRPr="00C1168B" w:rsidRDefault="00E90A84" w:rsidP="006D7423">
            <w:pPr>
              <w:autoSpaceDE w:val="0"/>
              <w:autoSpaceDN w:val="0"/>
              <w:adjustRightInd w:val="0"/>
              <w:ind w:left="60" w:right="60"/>
              <w:rPr>
                <w:rFonts w:ascii="Book Antiqua" w:hAnsi="Book Antiqua"/>
                <w:szCs w:val="20"/>
                <w:lang w:eastAsia="id-ID"/>
              </w:rPr>
            </w:pPr>
            <w:r w:rsidRPr="00C1168B">
              <w:rPr>
                <w:rFonts w:ascii="Book Antiqua" w:hAnsi="Book Antiqua"/>
                <w:szCs w:val="20"/>
                <w:lang w:eastAsia="id-ID"/>
              </w:rPr>
              <w:t>CR_</w:t>
            </w:r>
            <w:r w:rsidRPr="00C1168B">
              <w:rPr>
                <w:rFonts w:ascii="Book Antiqua" w:hAnsi="Book Antiqua"/>
                <w:szCs w:val="20"/>
                <w:lang w:val="id-ID" w:eastAsia="id-ID"/>
              </w:rPr>
              <w:t>during</w:t>
            </w:r>
            <w:r w:rsidRPr="00C1168B">
              <w:rPr>
                <w:rFonts w:ascii="Book Antiqua" w:hAnsi="Book Antiqua"/>
                <w:szCs w:val="20"/>
                <w:lang w:eastAsia="id-ID"/>
              </w:rPr>
              <w:t xml:space="preserve"> </w:t>
            </w:r>
            <w:r w:rsidR="00C1168B" w:rsidRPr="00C1168B">
              <w:rPr>
                <w:rFonts w:ascii="Book Antiqua" w:hAnsi="Book Antiqua"/>
                <w:szCs w:val="20"/>
                <w:lang w:eastAsia="id-ID"/>
              </w:rPr>
              <w:t>COVID</w:t>
            </w:r>
            <w:r w:rsidR="00C1168B" w:rsidRPr="00C1168B">
              <w:rPr>
                <w:rFonts w:ascii="Book Antiqua" w:hAnsi="Book Antiqua"/>
                <w:szCs w:val="20"/>
                <w:lang w:val="id-ID" w:eastAsia="id-ID"/>
              </w:rPr>
              <w:t>-</w:t>
            </w:r>
            <w:r w:rsidR="00C1168B" w:rsidRPr="00C1168B">
              <w:rPr>
                <w:rFonts w:ascii="Book Antiqua" w:hAnsi="Book Antiqua"/>
                <w:szCs w:val="20"/>
                <w:lang w:eastAsia="id-ID"/>
              </w:rPr>
              <w:t>19</w:t>
            </w:r>
          </w:p>
        </w:tc>
        <w:tc>
          <w:tcPr>
            <w:tcW w:w="992"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0.378</w:t>
            </w:r>
          </w:p>
        </w:tc>
        <w:tc>
          <w:tcPr>
            <w:tcW w:w="993" w:type="dxa"/>
            <w:shd w:val="clear" w:color="auto" w:fill="FFFFFF"/>
          </w:tcPr>
          <w:p w:rsidR="00760B25" w:rsidRPr="00C1168B" w:rsidRDefault="00E90A84" w:rsidP="00B901A9">
            <w:pPr>
              <w:jc w:val="left"/>
              <w:rPr>
                <w:rFonts w:ascii="Book Antiqua" w:hAnsi="Book Antiqua"/>
                <w:szCs w:val="20"/>
              </w:rPr>
            </w:pPr>
            <w:r w:rsidRPr="00C1168B">
              <w:rPr>
                <w:rFonts w:ascii="Book Antiqua" w:hAnsi="Book Antiqua"/>
                <w:szCs w:val="20"/>
                <w:lang w:val="id-ID" w:eastAsia="id-ID"/>
              </w:rPr>
              <w:t>214</w:t>
            </w:r>
          </w:p>
        </w:tc>
        <w:tc>
          <w:tcPr>
            <w:tcW w:w="850"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0.000</w:t>
            </w:r>
          </w:p>
        </w:tc>
        <w:tc>
          <w:tcPr>
            <w:tcW w:w="851"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0.248</w:t>
            </w:r>
          </w:p>
        </w:tc>
        <w:tc>
          <w:tcPr>
            <w:tcW w:w="992" w:type="dxa"/>
            <w:shd w:val="clear" w:color="auto" w:fill="FFFFFF"/>
            <w:hideMark/>
          </w:tcPr>
          <w:p w:rsidR="00760B25" w:rsidRPr="00C1168B" w:rsidRDefault="00E90A84" w:rsidP="00B901A9">
            <w:pPr>
              <w:jc w:val="left"/>
              <w:rPr>
                <w:rFonts w:ascii="Book Antiqua" w:hAnsi="Book Antiqua"/>
                <w:szCs w:val="20"/>
              </w:rPr>
            </w:pPr>
            <w:r w:rsidRPr="00C1168B">
              <w:rPr>
                <w:rFonts w:ascii="Book Antiqua" w:hAnsi="Book Antiqua"/>
                <w:szCs w:val="20"/>
                <w:lang w:val="id-ID" w:eastAsia="id-ID"/>
              </w:rPr>
              <w:t>214</w:t>
            </w:r>
          </w:p>
        </w:tc>
        <w:tc>
          <w:tcPr>
            <w:tcW w:w="992"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0.000</w:t>
            </w:r>
          </w:p>
        </w:tc>
      </w:tr>
      <w:tr w:rsidR="00C373BA" w:rsidTr="006D7423">
        <w:trPr>
          <w:cantSplit/>
          <w:trHeight w:val="34"/>
        </w:trPr>
        <w:tc>
          <w:tcPr>
            <w:tcW w:w="2410" w:type="dxa"/>
            <w:shd w:val="clear" w:color="auto" w:fill="auto"/>
            <w:hideMark/>
          </w:tcPr>
          <w:p w:rsidR="00760B25" w:rsidRPr="00C1168B" w:rsidRDefault="00E90A84" w:rsidP="006D7423">
            <w:pPr>
              <w:autoSpaceDE w:val="0"/>
              <w:autoSpaceDN w:val="0"/>
              <w:adjustRightInd w:val="0"/>
              <w:ind w:left="60" w:right="60"/>
              <w:rPr>
                <w:rFonts w:ascii="Book Antiqua" w:hAnsi="Book Antiqua"/>
                <w:szCs w:val="20"/>
                <w:lang w:eastAsia="id-ID"/>
              </w:rPr>
            </w:pPr>
            <w:r w:rsidRPr="00C1168B">
              <w:rPr>
                <w:rFonts w:ascii="Book Antiqua" w:hAnsi="Book Antiqua"/>
                <w:szCs w:val="20"/>
                <w:lang w:eastAsia="id-ID"/>
              </w:rPr>
              <w:t>DER_</w:t>
            </w:r>
            <w:r w:rsidRPr="00C1168B">
              <w:rPr>
                <w:rFonts w:ascii="Book Antiqua" w:hAnsi="Book Antiqua"/>
                <w:szCs w:val="20"/>
                <w:lang w:val="id-ID" w:eastAsia="id-ID"/>
              </w:rPr>
              <w:t>before</w:t>
            </w:r>
            <w:r w:rsidRPr="00C1168B">
              <w:rPr>
                <w:rFonts w:ascii="Book Antiqua" w:hAnsi="Book Antiqua"/>
                <w:szCs w:val="20"/>
                <w:lang w:eastAsia="id-ID"/>
              </w:rPr>
              <w:t xml:space="preserve"> </w:t>
            </w:r>
            <w:r w:rsidR="00C1168B" w:rsidRPr="00C1168B">
              <w:rPr>
                <w:rFonts w:ascii="Book Antiqua" w:hAnsi="Book Antiqua"/>
                <w:szCs w:val="20"/>
                <w:lang w:eastAsia="id-ID"/>
              </w:rPr>
              <w:t>COVID</w:t>
            </w:r>
            <w:r w:rsidR="00C1168B" w:rsidRPr="00C1168B">
              <w:rPr>
                <w:rFonts w:ascii="Book Antiqua" w:hAnsi="Book Antiqua"/>
                <w:szCs w:val="20"/>
                <w:lang w:val="id-ID" w:eastAsia="id-ID"/>
              </w:rPr>
              <w:t>-</w:t>
            </w:r>
            <w:r w:rsidR="00C1168B" w:rsidRPr="00C1168B">
              <w:rPr>
                <w:rFonts w:ascii="Book Antiqua" w:hAnsi="Book Antiqua"/>
                <w:szCs w:val="20"/>
                <w:lang w:eastAsia="id-ID"/>
              </w:rPr>
              <w:t>19</w:t>
            </w:r>
          </w:p>
        </w:tc>
        <w:tc>
          <w:tcPr>
            <w:tcW w:w="992"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0.205</w:t>
            </w:r>
          </w:p>
        </w:tc>
        <w:tc>
          <w:tcPr>
            <w:tcW w:w="993" w:type="dxa"/>
            <w:shd w:val="clear" w:color="auto" w:fill="FFFFFF"/>
          </w:tcPr>
          <w:p w:rsidR="00760B25" w:rsidRPr="00C1168B" w:rsidRDefault="00E90A84" w:rsidP="00B901A9">
            <w:pPr>
              <w:jc w:val="left"/>
              <w:rPr>
                <w:rFonts w:ascii="Book Antiqua" w:hAnsi="Book Antiqua"/>
                <w:szCs w:val="20"/>
              </w:rPr>
            </w:pPr>
            <w:r w:rsidRPr="00C1168B">
              <w:rPr>
                <w:rFonts w:ascii="Book Antiqua" w:hAnsi="Book Antiqua"/>
                <w:szCs w:val="20"/>
                <w:lang w:val="id-ID" w:eastAsia="id-ID"/>
              </w:rPr>
              <w:t>214</w:t>
            </w:r>
          </w:p>
        </w:tc>
        <w:tc>
          <w:tcPr>
            <w:tcW w:w="850"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0.000</w:t>
            </w:r>
          </w:p>
        </w:tc>
        <w:tc>
          <w:tcPr>
            <w:tcW w:w="851"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0.682</w:t>
            </w:r>
          </w:p>
        </w:tc>
        <w:tc>
          <w:tcPr>
            <w:tcW w:w="992" w:type="dxa"/>
            <w:shd w:val="clear" w:color="auto" w:fill="FFFFFF"/>
            <w:hideMark/>
          </w:tcPr>
          <w:p w:rsidR="00760B25" w:rsidRPr="00C1168B" w:rsidRDefault="00E90A84" w:rsidP="00B901A9">
            <w:pPr>
              <w:jc w:val="left"/>
              <w:rPr>
                <w:rFonts w:ascii="Book Antiqua" w:hAnsi="Book Antiqua"/>
                <w:szCs w:val="20"/>
              </w:rPr>
            </w:pPr>
            <w:r w:rsidRPr="00C1168B">
              <w:rPr>
                <w:rFonts w:ascii="Book Antiqua" w:hAnsi="Book Antiqua"/>
                <w:szCs w:val="20"/>
                <w:lang w:val="id-ID" w:eastAsia="id-ID"/>
              </w:rPr>
              <w:t>214</w:t>
            </w:r>
          </w:p>
        </w:tc>
        <w:tc>
          <w:tcPr>
            <w:tcW w:w="992"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0.000</w:t>
            </w:r>
          </w:p>
        </w:tc>
      </w:tr>
      <w:tr w:rsidR="00C373BA" w:rsidTr="006D7423">
        <w:trPr>
          <w:cantSplit/>
          <w:trHeight w:val="34"/>
        </w:trPr>
        <w:tc>
          <w:tcPr>
            <w:tcW w:w="2410" w:type="dxa"/>
            <w:shd w:val="clear" w:color="auto" w:fill="auto"/>
            <w:hideMark/>
          </w:tcPr>
          <w:p w:rsidR="00760B25" w:rsidRPr="00C1168B" w:rsidRDefault="00E90A84" w:rsidP="006D7423">
            <w:pPr>
              <w:autoSpaceDE w:val="0"/>
              <w:autoSpaceDN w:val="0"/>
              <w:adjustRightInd w:val="0"/>
              <w:ind w:left="60" w:right="60"/>
              <w:rPr>
                <w:rFonts w:ascii="Book Antiqua" w:hAnsi="Book Antiqua"/>
                <w:szCs w:val="20"/>
                <w:lang w:eastAsia="id-ID"/>
              </w:rPr>
            </w:pPr>
            <w:r w:rsidRPr="00C1168B">
              <w:rPr>
                <w:rFonts w:ascii="Book Antiqua" w:hAnsi="Book Antiqua"/>
                <w:szCs w:val="20"/>
                <w:lang w:eastAsia="id-ID"/>
              </w:rPr>
              <w:t>DER_</w:t>
            </w:r>
            <w:r w:rsidRPr="00C1168B">
              <w:rPr>
                <w:rFonts w:ascii="Book Antiqua" w:hAnsi="Book Antiqua"/>
                <w:szCs w:val="20"/>
                <w:lang w:val="id-ID" w:eastAsia="id-ID"/>
              </w:rPr>
              <w:t>during</w:t>
            </w:r>
            <w:r w:rsidRPr="00C1168B">
              <w:rPr>
                <w:rFonts w:ascii="Book Antiqua" w:hAnsi="Book Antiqua"/>
                <w:szCs w:val="20"/>
                <w:lang w:eastAsia="id-ID"/>
              </w:rPr>
              <w:t xml:space="preserve"> </w:t>
            </w:r>
            <w:r w:rsidR="00C1168B" w:rsidRPr="00C1168B">
              <w:rPr>
                <w:rFonts w:ascii="Book Antiqua" w:hAnsi="Book Antiqua"/>
                <w:szCs w:val="20"/>
                <w:lang w:eastAsia="id-ID"/>
              </w:rPr>
              <w:t>COVID</w:t>
            </w:r>
            <w:r w:rsidR="00C1168B" w:rsidRPr="00C1168B">
              <w:rPr>
                <w:rFonts w:ascii="Book Antiqua" w:hAnsi="Book Antiqua"/>
                <w:szCs w:val="20"/>
                <w:lang w:val="id-ID" w:eastAsia="id-ID"/>
              </w:rPr>
              <w:t>-</w:t>
            </w:r>
            <w:r w:rsidR="00C1168B" w:rsidRPr="00C1168B">
              <w:rPr>
                <w:rFonts w:ascii="Book Antiqua" w:hAnsi="Book Antiqua"/>
                <w:szCs w:val="20"/>
                <w:lang w:eastAsia="id-ID"/>
              </w:rPr>
              <w:t>19</w:t>
            </w:r>
          </w:p>
        </w:tc>
        <w:tc>
          <w:tcPr>
            <w:tcW w:w="992"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0.248</w:t>
            </w:r>
          </w:p>
        </w:tc>
        <w:tc>
          <w:tcPr>
            <w:tcW w:w="993" w:type="dxa"/>
            <w:shd w:val="clear" w:color="auto" w:fill="FFFFFF"/>
          </w:tcPr>
          <w:p w:rsidR="00760B25" w:rsidRPr="00C1168B" w:rsidRDefault="00E90A84" w:rsidP="00B901A9">
            <w:pPr>
              <w:jc w:val="left"/>
              <w:rPr>
                <w:rFonts w:ascii="Book Antiqua" w:hAnsi="Book Antiqua"/>
                <w:szCs w:val="20"/>
              </w:rPr>
            </w:pPr>
            <w:r w:rsidRPr="00C1168B">
              <w:rPr>
                <w:rFonts w:ascii="Book Antiqua" w:hAnsi="Book Antiqua"/>
                <w:szCs w:val="20"/>
                <w:lang w:val="id-ID" w:eastAsia="id-ID"/>
              </w:rPr>
              <w:t>214</w:t>
            </w:r>
          </w:p>
        </w:tc>
        <w:tc>
          <w:tcPr>
            <w:tcW w:w="850"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0.000</w:t>
            </w:r>
          </w:p>
        </w:tc>
        <w:tc>
          <w:tcPr>
            <w:tcW w:w="851"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0.569</w:t>
            </w:r>
          </w:p>
        </w:tc>
        <w:tc>
          <w:tcPr>
            <w:tcW w:w="992" w:type="dxa"/>
            <w:shd w:val="clear" w:color="auto" w:fill="FFFFFF"/>
            <w:hideMark/>
          </w:tcPr>
          <w:p w:rsidR="00760B25" w:rsidRPr="00C1168B" w:rsidRDefault="00E90A84" w:rsidP="00B901A9">
            <w:pPr>
              <w:jc w:val="left"/>
              <w:rPr>
                <w:rFonts w:ascii="Book Antiqua" w:hAnsi="Book Antiqua"/>
                <w:szCs w:val="20"/>
              </w:rPr>
            </w:pPr>
            <w:r w:rsidRPr="00C1168B">
              <w:rPr>
                <w:rFonts w:ascii="Book Antiqua" w:hAnsi="Book Antiqua"/>
                <w:szCs w:val="20"/>
                <w:lang w:val="id-ID" w:eastAsia="id-ID"/>
              </w:rPr>
              <w:t>214</w:t>
            </w:r>
          </w:p>
        </w:tc>
        <w:tc>
          <w:tcPr>
            <w:tcW w:w="992"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0.000</w:t>
            </w:r>
          </w:p>
        </w:tc>
      </w:tr>
      <w:tr w:rsidR="00C373BA" w:rsidTr="006D7423">
        <w:trPr>
          <w:cantSplit/>
          <w:trHeight w:val="34"/>
        </w:trPr>
        <w:tc>
          <w:tcPr>
            <w:tcW w:w="2410" w:type="dxa"/>
            <w:shd w:val="clear" w:color="auto" w:fill="auto"/>
            <w:hideMark/>
          </w:tcPr>
          <w:p w:rsidR="00760B25" w:rsidRPr="00C1168B" w:rsidRDefault="00E90A84" w:rsidP="006D7423">
            <w:pPr>
              <w:autoSpaceDE w:val="0"/>
              <w:autoSpaceDN w:val="0"/>
              <w:adjustRightInd w:val="0"/>
              <w:ind w:left="60" w:right="60"/>
              <w:rPr>
                <w:rFonts w:ascii="Book Antiqua" w:hAnsi="Book Antiqua"/>
                <w:szCs w:val="20"/>
                <w:lang w:eastAsia="id-ID"/>
              </w:rPr>
            </w:pPr>
            <w:r w:rsidRPr="00C1168B">
              <w:rPr>
                <w:rFonts w:ascii="Book Antiqua" w:hAnsi="Book Antiqua"/>
                <w:szCs w:val="20"/>
                <w:lang w:eastAsia="id-ID"/>
              </w:rPr>
              <w:t>ROA_</w:t>
            </w:r>
            <w:r w:rsidRPr="00C1168B">
              <w:rPr>
                <w:rFonts w:ascii="Book Antiqua" w:hAnsi="Book Antiqua"/>
                <w:szCs w:val="20"/>
                <w:lang w:val="id-ID" w:eastAsia="id-ID"/>
              </w:rPr>
              <w:t>before</w:t>
            </w:r>
            <w:r w:rsidRPr="00C1168B">
              <w:rPr>
                <w:rFonts w:ascii="Book Antiqua" w:hAnsi="Book Antiqua"/>
                <w:szCs w:val="20"/>
                <w:lang w:eastAsia="id-ID"/>
              </w:rPr>
              <w:t xml:space="preserve"> </w:t>
            </w:r>
            <w:r w:rsidR="00C1168B" w:rsidRPr="00C1168B">
              <w:rPr>
                <w:rFonts w:ascii="Book Antiqua" w:hAnsi="Book Antiqua"/>
                <w:szCs w:val="20"/>
                <w:lang w:eastAsia="id-ID"/>
              </w:rPr>
              <w:t>COVID</w:t>
            </w:r>
            <w:r w:rsidR="00C1168B" w:rsidRPr="00C1168B">
              <w:rPr>
                <w:rFonts w:ascii="Book Antiqua" w:hAnsi="Book Antiqua"/>
                <w:szCs w:val="20"/>
                <w:lang w:val="id-ID" w:eastAsia="id-ID"/>
              </w:rPr>
              <w:t>-</w:t>
            </w:r>
            <w:r w:rsidR="00C1168B" w:rsidRPr="00C1168B">
              <w:rPr>
                <w:rFonts w:ascii="Book Antiqua" w:hAnsi="Book Antiqua"/>
                <w:szCs w:val="20"/>
                <w:lang w:eastAsia="id-ID"/>
              </w:rPr>
              <w:t>19</w:t>
            </w:r>
          </w:p>
        </w:tc>
        <w:tc>
          <w:tcPr>
            <w:tcW w:w="992"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0.390</w:t>
            </w:r>
          </w:p>
        </w:tc>
        <w:tc>
          <w:tcPr>
            <w:tcW w:w="993" w:type="dxa"/>
            <w:shd w:val="clear" w:color="auto" w:fill="FFFFFF"/>
          </w:tcPr>
          <w:p w:rsidR="00760B25" w:rsidRPr="00C1168B" w:rsidRDefault="00E90A84" w:rsidP="00B901A9">
            <w:pPr>
              <w:jc w:val="left"/>
              <w:rPr>
                <w:rFonts w:ascii="Book Antiqua" w:hAnsi="Book Antiqua"/>
                <w:szCs w:val="20"/>
              </w:rPr>
            </w:pPr>
            <w:r w:rsidRPr="00C1168B">
              <w:rPr>
                <w:rFonts w:ascii="Book Antiqua" w:hAnsi="Book Antiqua"/>
                <w:szCs w:val="20"/>
                <w:lang w:val="id-ID" w:eastAsia="id-ID"/>
              </w:rPr>
              <w:t>214</w:t>
            </w:r>
          </w:p>
        </w:tc>
        <w:tc>
          <w:tcPr>
            <w:tcW w:w="850"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0.000</w:t>
            </w:r>
          </w:p>
        </w:tc>
        <w:tc>
          <w:tcPr>
            <w:tcW w:w="851"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0.716</w:t>
            </w:r>
          </w:p>
        </w:tc>
        <w:tc>
          <w:tcPr>
            <w:tcW w:w="992" w:type="dxa"/>
            <w:shd w:val="clear" w:color="auto" w:fill="FFFFFF"/>
            <w:hideMark/>
          </w:tcPr>
          <w:p w:rsidR="00760B25" w:rsidRPr="00C1168B" w:rsidRDefault="00E90A84" w:rsidP="00B901A9">
            <w:pPr>
              <w:jc w:val="left"/>
              <w:rPr>
                <w:rFonts w:ascii="Book Antiqua" w:hAnsi="Book Antiqua"/>
                <w:szCs w:val="20"/>
              </w:rPr>
            </w:pPr>
            <w:r w:rsidRPr="00C1168B">
              <w:rPr>
                <w:rFonts w:ascii="Book Antiqua" w:hAnsi="Book Antiqua"/>
                <w:szCs w:val="20"/>
                <w:lang w:val="id-ID" w:eastAsia="id-ID"/>
              </w:rPr>
              <w:t>214</w:t>
            </w:r>
          </w:p>
        </w:tc>
        <w:tc>
          <w:tcPr>
            <w:tcW w:w="992"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0.000</w:t>
            </w:r>
          </w:p>
        </w:tc>
      </w:tr>
      <w:tr w:rsidR="00C373BA" w:rsidTr="006D7423">
        <w:trPr>
          <w:cantSplit/>
          <w:trHeight w:val="34"/>
        </w:trPr>
        <w:tc>
          <w:tcPr>
            <w:tcW w:w="2410" w:type="dxa"/>
            <w:shd w:val="clear" w:color="auto" w:fill="auto"/>
            <w:hideMark/>
          </w:tcPr>
          <w:p w:rsidR="00760B25" w:rsidRPr="00C1168B" w:rsidRDefault="00E90A84" w:rsidP="006D7423">
            <w:pPr>
              <w:autoSpaceDE w:val="0"/>
              <w:autoSpaceDN w:val="0"/>
              <w:adjustRightInd w:val="0"/>
              <w:ind w:left="60" w:right="60"/>
              <w:rPr>
                <w:rFonts w:ascii="Book Antiqua" w:hAnsi="Book Antiqua"/>
                <w:szCs w:val="20"/>
                <w:lang w:eastAsia="id-ID"/>
              </w:rPr>
            </w:pPr>
            <w:r w:rsidRPr="00C1168B">
              <w:rPr>
                <w:rFonts w:ascii="Book Antiqua" w:hAnsi="Book Antiqua"/>
                <w:szCs w:val="20"/>
                <w:lang w:eastAsia="id-ID"/>
              </w:rPr>
              <w:t>ROA_</w:t>
            </w:r>
            <w:r w:rsidRPr="00C1168B">
              <w:rPr>
                <w:rFonts w:ascii="Book Antiqua" w:hAnsi="Book Antiqua"/>
                <w:szCs w:val="20"/>
                <w:lang w:val="id-ID" w:eastAsia="id-ID"/>
              </w:rPr>
              <w:t>during</w:t>
            </w:r>
            <w:r w:rsidRPr="00C1168B">
              <w:rPr>
                <w:rFonts w:ascii="Book Antiqua" w:hAnsi="Book Antiqua"/>
                <w:szCs w:val="20"/>
                <w:lang w:eastAsia="id-ID"/>
              </w:rPr>
              <w:t xml:space="preserve"> </w:t>
            </w:r>
            <w:r w:rsidR="00C1168B" w:rsidRPr="00C1168B">
              <w:rPr>
                <w:rFonts w:ascii="Book Antiqua" w:hAnsi="Book Antiqua"/>
                <w:szCs w:val="20"/>
                <w:lang w:eastAsia="id-ID"/>
              </w:rPr>
              <w:t>COVID</w:t>
            </w:r>
            <w:r w:rsidR="00C1168B" w:rsidRPr="00C1168B">
              <w:rPr>
                <w:rFonts w:ascii="Book Antiqua" w:hAnsi="Book Antiqua"/>
                <w:szCs w:val="20"/>
                <w:lang w:val="id-ID" w:eastAsia="id-ID"/>
              </w:rPr>
              <w:t>-</w:t>
            </w:r>
            <w:r w:rsidR="00C1168B" w:rsidRPr="00C1168B">
              <w:rPr>
                <w:rFonts w:ascii="Book Antiqua" w:hAnsi="Book Antiqua"/>
                <w:szCs w:val="20"/>
                <w:lang w:eastAsia="id-ID"/>
              </w:rPr>
              <w:t>19</w:t>
            </w:r>
          </w:p>
        </w:tc>
        <w:tc>
          <w:tcPr>
            <w:tcW w:w="992"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0.121</w:t>
            </w:r>
          </w:p>
        </w:tc>
        <w:tc>
          <w:tcPr>
            <w:tcW w:w="993" w:type="dxa"/>
            <w:shd w:val="clear" w:color="auto" w:fill="FFFFFF"/>
          </w:tcPr>
          <w:p w:rsidR="00760B25" w:rsidRPr="00C1168B" w:rsidRDefault="00E90A84" w:rsidP="00B901A9">
            <w:pPr>
              <w:jc w:val="left"/>
              <w:rPr>
                <w:rFonts w:ascii="Book Antiqua" w:hAnsi="Book Antiqua"/>
                <w:szCs w:val="20"/>
              </w:rPr>
            </w:pPr>
            <w:r w:rsidRPr="00C1168B">
              <w:rPr>
                <w:rFonts w:ascii="Book Antiqua" w:hAnsi="Book Antiqua"/>
                <w:szCs w:val="20"/>
                <w:lang w:val="id-ID" w:eastAsia="id-ID"/>
              </w:rPr>
              <w:t>214</w:t>
            </w:r>
          </w:p>
        </w:tc>
        <w:tc>
          <w:tcPr>
            <w:tcW w:w="850"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0.001</w:t>
            </w:r>
          </w:p>
        </w:tc>
        <w:tc>
          <w:tcPr>
            <w:tcW w:w="851"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0.794</w:t>
            </w:r>
          </w:p>
        </w:tc>
        <w:tc>
          <w:tcPr>
            <w:tcW w:w="992" w:type="dxa"/>
            <w:shd w:val="clear" w:color="auto" w:fill="FFFFFF"/>
            <w:hideMark/>
          </w:tcPr>
          <w:p w:rsidR="00760B25" w:rsidRPr="00C1168B" w:rsidRDefault="00E90A84" w:rsidP="00B901A9">
            <w:pPr>
              <w:jc w:val="left"/>
              <w:rPr>
                <w:rFonts w:ascii="Book Antiqua" w:hAnsi="Book Antiqua"/>
                <w:szCs w:val="20"/>
              </w:rPr>
            </w:pPr>
            <w:r w:rsidRPr="00C1168B">
              <w:rPr>
                <w:rFonts w:ascii="Book Antiqua" w:hAnsi="Book Antiqua"/>
                <w:szCs w:val="20"/>
                <w:lang w:val="id-ID" w:eastAsia="id-ID"/>
              </w:rPr>
              <w:t>214</w:t>
            </w:r>
          </w:p>
        </w:tc>
        <w:tc>
          <w:tcPr>
            <w:tcW w:w="992" w:type="dxa"/>
            <w:shd w:val="clear" w:color="auto" w:fill="FFFFFF"/>
            <w:hideMark/>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0.000</w:t>
            </w:r>
          </w:p>
        </w:tc>
      </w:tr>
      <w:tr w:rsidR="00C373BA" w:rsidTr="006D7423">
        <w:trPr>
          <w:cantSplit/>
          <w:trHeight w:val="44"/>
        </w:trPr>
        <w:tc>
          <w:tcPr>
            <w:tcW w:w="2410" w:type="dxa"/>
            <w:shd w:val="clear" w:color="auto" w:fill="auto"/>
          </w:tcPr>
          <w:p w:rsidR="00760B25" w:rsidRPr="00C1168B" w:rsidRDefault="00E90A84" w:rsidP="006D7423">
            <w:pPr>
              <w:autoSpaceDE w:val="0"/>
              <w:autoSpaceDN w:val="0"/>
              <w:adjustRightInd w:val="0"/>
              <w:ind w:left="60" w:right="60"/>
              <w:rPr>
                <w:rFonts w:ascii="Book Antiqua" w:hAnsi="Book Antiqua"/>
                <w:szCs w:val="20"/>
                <w:lang w:eastAsia="id-ID"/>
              </w:rPr>
            </w:pPr>
            <w:r w:rsidRPr="00C1168B">
              <w:rPr>
                <w:rFonts w:ascii="Book Antiqua" w:hAnsi="Book Antiqua"/>
                <w:szCs w:val="20"/>
                <w:lang w:eastAsia="id-ID"/>
              </w:rPr>
              <w:t>RTO_</w:t>
            </w:r>
            <w:r w:rsidRPr="00C1168B">
              <w:rPr>
                <w:rFonts w:ascii="Book Antiqua" w:hAnsi="Book Antiqua"/>
                <w:szCs w:val="20"/>
                <w:lang w:val="id-ID" w:eastAsia="id-ID"/>
              </w:rPr>
              <w:t>before</w:t>
            </w:r>
            <w:r w:rsidRPr="00C1168B">
              <w:rPr>
                <w:rFonts w:ascii="Book Antiqua" w:hAnsi="Book Antiqua"/>
                <w:szCs w:val="20"/>
                <w:lang w:eastAsia="id-ID"/>
              </w:rPr>
              <w:t xml:space="preserve"> </w:t>
            </w:r>
            <w:r w:rsidR="00C1168B" w:rsidRPr="00C1168B">
              <w:rPr>
                <w:rFonts w:ascii="Book Antiqua" w:hAnsi="Book Antiqua"/>
                <w:szCs w:val="20"/>
                <w:lang w:eastAsia="id-ID"/>
              </w:rPr>
              <w:t>COVID</w:t>
            </w:r>
            <w:r w:rsidR="00C1168B" w:rsidRPr="00C1168B">
              <w:rPr>
                <w:rFonts w:ascii="Book Antiqua" w:hAnsi="Book Antiqua"/>
                <w:szCs w:val="20"/>
                <w:lang w:val="id-ID" w:eastAsia="id-ID"/>
              </w:rPr>
              <w:t>-</w:t>
            </w:r>
            <w:r w:rsidR="00C1168B" w:rsidRPr="00C1168B">
              <w:rPr>
                <w:rFonts w:ascii="Book Antiqua" w:hAnsi="Book Antiqua"/>
                <w:szCs w:val="20"/>
                <w:lang w:eastAsia="id-ID"/>
              </w:rPr>
              <w:t>19</w:t>
            </w:r>
          </w:p>
        </w:tc>
        <w:tc>
          <w:tcPr>
            <w:tcW w:w="992" w:type="dxa"/>
            <w:shd w:val="clear" w:color="auto" w:fill="FFFFFF"/>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0.325</w:t>
            </w:r>
          </w:p>
        </w:tc>
        <w:tc>
          <w:tcPr>
            <w:tcW w:w="993" w:type="dxa"/>
            <w:shd w:val="clear" w:color="auto" w:fill="FFFFFF"/>
          </w:tcPr>
          <w:p w:rsidR="00760B25" w:rsidRPr="00C1168B" w:rsidRDefault="00E90A84" w:rsidP="00B901A9">
            <w:pPr>
              <w:jc w:val="left"/>
              <w:rPr>
                <w:rFonts w:ascii="Book Antiqua" w:hAnsi="Book Antiqua"/>
                <w:szCs w:val="20"/>
              </w:rPr>
            </w:pPr>
            <w:r w:rsidRPr="00C1168B">
              <w:rPr>
                <w:rFonts w:ascii="Book Antiqua" w:hAnsi="Book Antiqua"/>
                <w:szCs w:val="20"/>
                <w:lang w:val="id-ID" w:eastAsia="id-ID"/>
              </w:rPr>
              <w:t>214</w:t>
            </w:r>
          </w:p>
        </w:tc>
        <w:tc>
          <w:tcPr>
            <w:tcW w:w="850" w:type="dxa"/>
            <w:shd w:val="clear" w:color="auto" w:fill="FFFFFF"/>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0.000</w:t>
            </w:r>
          </w:p>
        </w:tc>
        <w:tc>
          <w:tcPr>
            <w:tcW w:w="851" w:type="dxa"/>
            <w:shd w:val="clear" w:color="auto" w:fill="FFFFFF"/>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0.502</w:t>
            </w:r>
          </w:p>
        </w:tc>
        <w:tc>
          <w:tcPr>
            <w:tcW w:w="992" w:type="dxa"/>
            <w:shd w:val="clear" w:color="auto" w:fill="FFFFFF"/>
          </w:tcPr>
          <w:p w:rsidR="00760B25" w:rsidRPr="00C1168B" w:rsidRDefault="00E90A84" w:rsidP="00B901A9">
            <w:pPr>
              <w:jc w:val="left"/>
              <w:rPr>
                <w:rFonts w:ascii="Book Antiqua" w:hAnsi="Book Antiqua"/>
                <w:szCs w:val="20"/>
              </w:rPr>
            </w:pPr>
            <w:r w:rsidRPr="00C1168B">
              <w:rPr>
                <w:rFonts w:ascii="Book Antiqua" w:hAnsi="Book Antiqua"/>
                <w:szCs w:val="20"/>
                <w:lang w:val="id-ID" w:eastAsia="id-ID"/>
              </w:rPr>
              <w:t>214</w:t>
            </w:r>
          </w:p>
        </w:tc>
        <w:tc>
          <w:tcPr>
            <w:tcW w:w="992" w:type="dxa"/>
            <w:shd w:val="clear" w:color="auto" w:fill="FFFFFF"/>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0.000</w:t>
            </w:r>
          </w:p>
        </w:tc>
      </w:tr>
      <w:tr w:rsidR="00C373BA" w:rsidTr="006D7423">
        <w:trPr>
          <w:cantSplit/>
          <w:trHeight w:val="34"/>
        </w:trPr>
        <w:tc>
          <w:tcPr>
            <w:tcW w:w="2410" w:type="dxa"/>
            <w:tcBorders>
              <w:bottom w:val="single" w:sz="4" w:space="0" w:color="auto"/>
            </w:tcBorders>
            <w:shd w:val="clear" w:color="auto" w:fill="auto"/>
          </w:tcPr>
          <w:p w:rsidR="00760B25" w:rsidRPr="00C1168B" w:rsidRDefault="00E90A84" w:rsidP="006D7423">
            <w:pPr>
              <w:autoSpaceDE w:val="0"/>
              <w:autoSpaceDN w:val="0"/>
              <w:adjustRightInd w:val="0"/>
              <w:ind w:left="60" w:right="60"/>
              <w:rPr>
                <w:rFonts w:ascii="Book Antiqua" w:hAnsi="Book Antiqua"/>
                <w:szCs w:val="20"/>
                <w:lang w:eastAsia="id-ID"/>
              </w:rPr>
            </w:pPr>
            <w:r w:rsidRPr="00C1168B">
              <w:rPr>
                <w:rFonts w:ascii="Book Antiqua" w:hAnsi="Book Antiqua"/>
                <w:szCs w:val="20"/>
                <w:lang w:eastAsia="id-ID"/>
              </w:rPr>
              <w:t>RTO_</w:t>
            </w:r>
            <w:r w:rsidRPr="00C1168B">
              <w:rPr>
                <w:rFonts w:ascii="Book Antiqua" w:hAnsi="Book Antiqua"/>
                <w:szCs w:val="20"/>
                <w:lang w:val="id-ID" w:eastAsia="id-ID"/>
              </w:rPr>
              <w:t>during</w:t>
            </w:r>
            <w:r w:rsidRPr="00C1168B">
              <w:rPr>
                <w:rFonts w:ascii="Book Antiqua" w:hAnsi="Book Antiqua"/>
                <w:szCs w:val="20"/>
                <w:lang w:eastAsia="id-ID"/>
              </w:rPr>
              <w:t xml:space="preserve"> </w:t>
            </w:r>
            <w:r w:rsidR="00C1168B" w:rsidRPr="00C1168B">
              <w:rPr>
                <w:rFonts w:ascii="Book Antiqua" w:hAnsi="Book Antiqua"/>
                <w:szCs w:val="20"/>
                <w:lang w:eastAsia="id-ID"/>
              </w:rPr>
              <w:t>COVID</w:t>
            </w:r>
            <w:r w:rsidR="00C1168B" w:rsidRPr="00C1168B">
              <w:rPr>
                <w:rFonts w:ascii="Book Antiqua" w:hAnsi="Book Antiqua"/>
                <w:szCs w:val="20"/>
                <w:lang w:val="id-ID" w:eastAsia="id-ID"/>
              </w:rPr>
              <w:t>-</w:t>
            </w:r>
            <w:r w:rsidR="00C1168B" w:rsidRPr="00C1168B">
              <w:rPr>
                <w:rFonts w:ascii="Book Antiqua" w:hAnsi="Book Antiqua"/>
                <w:szCs w:val="20"/>
                <w:lang w:eastAsia="id-ID"/>
              </w:rPr>
              <w:t>19</w:t>
            </w:r>
          </w:p>
        </w:tc>
        <w:tc>
          <w:tcPr>
            <w:tcW w:w="992" w:type="dxa"/>
            <w:tcBorders>
              <w:bottom w:val="single" w:sz="4" w:space="0" w:color="auto"/>
            </w:tcBorders>
            <w:shd w:val="clear" w:color="auto" w:fill="FFFFFF"/>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0.411</w:t>
            </w:r>
          </w:p>
        </w:tc>
        <w:tc>
          <w:tcPr>
            <w:tcW w:w="993" w:type="dxa"/>
            <w:tcBorders>
              <w:bottom w:val="single" w:sz="4" w:space="0" w:color="auto"/>
            </w:tcBorders>
            <w:shd w:val="clear" w:color="auto" w:fill="FFFFFF"/>
          </w:tcPr>
          <w:p w:rsidR="00760B25" w:rsidRPr="00C1168B" w:rsidRDefault="00E90A84" w:rsidP="00B901A9">
            <w:pPr>
              <w:jc w:val="left"/>
              <w:rPr>
                <w:rFonts w:ascii="Book Antiqua" w:hAnsi="Book Antiqua"/>
                <w:szCs w:val="20"/>
              </w:rPr>
            </w:pPr>
            <w:r w:rsidRPr="00C1168B">
              <w:rPr>
                <w:rFonts w:ascii="Book Antiqua" w:hAnsi="Book Antiqua"/>
                <w:szCs w:val="20"/>
                <w:lang w:val="id-ID" w:eastAsia="id-ID"/>
              </w:rPr>
              <w:t>214</w:t>
            </w:r>
          </w:p>
        </w:tc>
        <w:tc>
          <w:tcPr>
            <w:tcW w:w="850" w:type="dxa"/>
            <w:tcBorders>
              <w:bottom w:val="single" w:sz="4" w:space="0" w:color="auto"/>
            </w:tcBorders>
            <w:shd w:val="clear" w:color="auto" w:fill="FFFFFF"/>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0.000</w:t>
            </w:r>
          </w:p>
        </w:tc>
        <w:tc>
          <w:tcPr>
            <w:tcW w:w="851" w:type="dxa"/>
            <w:tcBorders>
              <w:bottom w:val="single" w:sz="4" w:space="0" w:color="auto"/>
            </w:tcBorders>
            <w:shd w:val="clear" w:color="auto" w:fill="FFFFFF"/>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0.553</w:t>
            </w:r>
          </w:p>
        </w:tc>
        <w:tc>
          <w:tcPr>
            <w:tcW w:w="992" w:type="dxa"/>
            <w:tcBorders>
              <w:bottom w:val="single" w:sz="4" w:space="0" w:color="auto"/>
            </w:tcBorders>
            <w:shd w:val="clear" w:color="auto" w:fill="FFFFFF"/>
          </w:tcPr>
          <w:p w:rsidR="00760B25" w:rsidRPr="00C1168B" w:rsidRDefault="00E90A84" w:rsidP="00B901A9">
            <w:pPr>
              <w:jc w:val="left"/>
              <w:rPr>
                <w:rFonts w:ascii="Book Antiqua" w:hAnsi="Book Antiqua"/>
                <w:szCs w:val="20"/>
              </w:rPr>
            </w:pPr>
            <w:r w:rsidRPr="00C1168B">
              <w:rPr>
                <w:rFonts w:ascii="Book Antiqua" w:hAnsi="Book Antiqua"/>
                <w:szCs w:val="20"/>
                <w:lang w:val="id-ID" w:eastAsia="id-ID"/>
              </w:rPr>
              <w:t>214</w:t>
            </w:r>
          </w:p>
        </w:tc>
        <w:tc>
          <w:tcPr>
            <w:tcW w:w="992" w:type="dxa"/>
            <w:tcBorders>
              <w:bottom w:val="single" w:sz="4" w:space="0" w:color="auto"/>
            </w:tcBorders>
            <w:shd w:val="clear" w:color="auto" w:fill="FFFFFF"/>
          </w:tcPr>
          <w:p w:rsidR="00760B25" w:rsidRPr="00C1168B" w:rsidRDefault="00E90A84" w:rsidP="00B901A9">
            <w:pPr>
              <w:autoSpaceDE w:val="0"/>
              <w:autoSpaceDN w:val="0"/>
              <w:adjustRightInd w:val="0"/>
              <w:ind w:left="60" w:right="60"/>
              <w:jc w:val="left"/>
              <w:rPr>
                <w:rFonts w:ascii="Book Antiqua" w:hAnsi="Book Antiqua"/>
                <w:szCs w:val="20"/>
                <w:lang w:val="id-ID" w:eastAsia="id-ID"/>
              </w:rPr>
            </w:pPr>
            <w:r w:rsidRPr="00C1168B">
              <w:rPr>
                <w:rFonts w:ascii="Book Antiqua" w:hAnsi="Book Antiqua"/>
                <w:szCs w:val="20"/>
                <w:lang w:val="id-ID" w:eastAsia="id-ID"/>
              </w:rPr>
              <w:t>0.000</w:t>
            </w:r>
          </w:p>
        </w:tc>
      </w:tr>
    </w:tbl>
    <w:p w:rsidR="00760B25" w:rsidRPr="00760B25" w:rsidRDefault="00760B25" w:rsidP="003419A2">
      <w:pPr>
        <w:pStyle w:val="Ventura-Content"/>
        <w:ind w:firstLine="0"/>
        <w:rPr>
          <w:color w:val="000000"/>
          <w:szCs w:val="20"/>
          <w:lang w:val="id-ID"/>
        </w:rPr>
      </w:pPr>
    </w:p>
    <w:p w:rsidR="003419A2" w:rsidRDefault="003419A2" w:rsidP="003419A2">
      <w:pPr>
        <w:pStyle w:val="Ventura-Content"/>
        <w:ind w:firstLine="0"/>
        <w:rPr>
          <w:i/>
          <w:color w:val="000000"/>
          <w:szCs w:val="20"/>
          <w:lang w:val="id-ID"/>
        </w:rPr>
      </w:pPr>
    </w:p>
    <w:p w:rsidR="00C1168B" w:rsidRPr="00787A83" w:rsidRDefault="00E90A84" w:rsidP="00C1168B">
      <w:pPr>
        <w:pStyle w:val="Ventura-Content"/>
        <w:ind w:left="426" w:hanging="426"/>
        <w:rPr>
          <w:b/>
          <w:i/>
          <w:color w:val="000000"/>
          <w:szCs w:val="20"/>
        </w:rPr>
      </w:pPr>
      <w:r>
        <w:rPr>
          <w:b/>
          <w:i/>
          <w:color w:val="000000"/>
          <w:szCs w:val="20"/>
        </w:rPr>
        <w:t>Wilcoxon Signed-Rank Test</w:t>
      </w:r>
    </w:p>
    <w:p w:rsidR="00C1168B" w:rsidRDefault="00E90A84" w:rsidP="003419A2">
      <w:pPr>
        <w:pStyle w:val="Ventura-Content"/>
        <w:ind w:firstLine="0"/>
        <w:rPr>
          <w:i/>
          <w:color w:val="000000"/>
          <w:szCs w:val="20"/>
          <w:lang w:val="id-ID"/>
        </w:rPr>
      </w:pPr>
      <w:r>
        <w:rPr>
          <w:color w:val="000000"/>
          <w:szCs w:val="20"/>
        </w:rPr>
        <w:t>Table 4 shows that t</w:t>
      </w:r>
      <w:r w:rsidR="002A42E0" w:rsidRPr="00256EEC">
        <w:rPr>
          <w:color w:val="000000"/>
          <w:szCs w:val="20"/>
        </w:rPr>
        <w:t>he values of the ties for th</w:t>
      </w:r>
      <w:r w:rsidR="00046F4A">
        <w:rPr>
          <w:color w:val="000000"/>
          <w:szCs w:val="20"/>
        </w:rPr>
        <w:t xml:space="preserve">e current ratio, DER, and ROA </w:t>
      </w:r>
      <w:r w:rsidR="00046F4A">
        <w:rPr>
          <w:color w:val="000000"/>
          <w:szCs w:val="20"/>
          <w:lang w:val="id-ID"/>
        </w:rPr>
        <w:t>w</w:t>
      </w:r>
      <w:r w:rsidR="00046F4A">
        <w:rPr>
          <w:color w:val="000000"/>
          <w:szCs w:val="20"/>
        </w:rPr>
        <w:t>ere 0,</w:t>
      </w:r>
      <w:r w:rsidR="00046F4A">
        <w:rPr>
          <w:color w:val="000000"/>
          <w:szCs w:val="20"/>
          <w:lang w:val="id-ID"/>
        </w:rPr>
        <w:t xml:space="preserve"> meaning</w:t>
      </w:r>
      <w:r w:rsidR="00046F4A">
        <w:rPr>
          <w:color w:val="000000"/>
          <w:szCs w:val="20"/>
        </w:rPr>
        <w:t xml:space="preserve"> that there </w:t>
      </w:r>
      <w:r w:rsidR="00046F4A">
        <w:rPr>
          <w:color w:val="000000"/>
          <w:szCs w:val="20"/>
          <w:lang w:val="id-ID"/>
        </w:rPr>
        <w:t>were</w:t>
      </w:r>
      <w:r w:rsidR="002A42E0" w:rsidRPr="00256EEC">
        <w:rPr>
          <w:color w:val="000000"/>
          <w:szCs w:val="20"/>
        </w:rPr>
        <w:t xml:space="preserve"> no same values for the current ratio, DER, and ROA betw</w:t>
      </w:r>
      <w:r w:rsidR="00046F4A">
        <w:rPr>
          <w:color w:val="000000"/>
          <w:szCs w:val="20"/>
        </w:rPr>
        <w:t>een before and during the COVID</w:t>
      </w:r>
      <w:r w:rsidR="00046F4A">
        <w:rPr>
          <w:color w:val="000000"/>
          <w:szCs w:val="20"/>
          <w:lang w:val="id-ID"/>
        </w:rPr>
        <w:t>-</w:t>
      </w:r>
      <w:r w:rsidR="002A42E0" w:rsidRPr="00256EEC">
        <w:rPr>
          <w:color w:val="000000"/>
          <w:szCs w:val="20"/>
        </w:rPr>
        <w:t xml:space="preserve">19 pandemic. At the same time, </w:t>
      </w:r>
      <w:r w:rsidR="00046F4A">
        <w:rPr>
          <w:color w:val="000000"/>
          <w:szCs w:val="20"/>
          <w:lang w:val="id-ID"/>
        </w:rPr>
        <w:t xml:space="preserve">the </w:t>
      </w:r>
      <w:r w:rsidR="002A42E0" w:rsidRPr="00256EEC">
        <w:rPr>
          <w:color w:val="000000"/>
          <w:szCs w:val="20"/>
        </w:rPr>
        <w:t>receivable turnover ha</w:t>
      </w:r>
      <w:r w:rsidR="00046F4A">
        <w:rPr>
          <w:color w:val="000000"/>
          <w:szCs w:val="20"/>
        </w:rPr>
        <w:t>s a ties value of 2,</w:t>
      </w:r>
      <w:r w:rsidR="00046F4A">
        <w:rPr>
          <w:color w:val="000000"/>
          <w:szCs w:val="20"/>
          <w:lang w:val="id-ID"/>
        </w:rPr>
        <w:t xml:space="preserve"> meaning</w:t>
      </w:r>
      <w:r w:rsidR="00046F4A">
        <w:rPr>
          <w:color w:val="000000"/>
          <w:szCs w:val="20"/>
        </w:rPr>
        <w:t xml:space="preserve"> that two companies </w:t>
      </w:r>
      <w:r w:rsidR="00046F4A">
        <w:rPr>
          <w:color w:val="000000"/>
          <w:szCs w:val="20"/>
          <w:lang w:val="id-ID"/>
        </w:rPr>
        <w:t>had</w:t>
      </w:r>
      <w:r w:rsidR="002A42E0" w:rsidRPr="00256EEC">
        <w:rPr>
          <w:color w:val="000000"/>
          <w:szCs w:val="20"/>
        </w:rPr>
        <w:t xml:space="preserve"> the same receivable turnover value betw</w:t>
      </w:r>
      <w:r w:rsidR="003419A2">
        <w:rPr>
          <w:color w:val="000000"/>
          <w:szCs w:val="20"/>
        </w:rPr>
        <w:t>een before and during the COVID</w:t>
      </w:r>
      <w:r w:rsidR="003419A2">
        <w:rPr>
          <w:color w:val="000000"/>
          <w:szCs w:val="20"/>
          <w:lang w:val="id-ID"/>
        </w:rPr>
        <w:t>-</w:t>
      </w:r>
      <w:r w:rsidR="002A42E0" w:rsidRPr="00256EEC">
        <w:rPr>
          <w:color w:val="000000"/>
          <w:szCs w:val="20"/>
        </w:rPr>
        <w:t>19 pandemic.</w:t>
      </w:r>
    </w:p>
    <w:p w:rsidR="003419A2" w:rsidRPr="00C1168B" w:rsidRDefault="00E90A84" w:rsidP="00C1168B">
      <w:pPr>
        <w:pStyle w:val="Ventura-Content"/>
        <w:ind w:firstLine="709"/>
        <w:rPr>
          <w:i/>
          <w:color w:val="000000"/>
          <w:szCs w:val="20"/>
          <w:lang w:val="id-ID"/>
        </w:rPr>
      </w:pPr>
      <w:r>
        <w:rPr>
          <w:color w:val="000000"/>
          <w:szCs w:val="20"/>
        </w:rPr>
        <w:t>There are</w:t>
      </w:r>
      <w:r w:rsidR="002A42E0" w:rsidRPr="00256EEC">
        <w:rPr>
          <w:color w:val="000000"/>
          <w:szCs w:val="20"/>
        </w:rPr>
        <w:t xml:space="preserve"> 113 companies that experienced a decrease in the current </w:t>
      </w:r>
      <w:r w:rsidR="00046F4A">
        <w:rPr>
          <w:color w:val="000000"/>
          <w:szCs w:val="20"/>
        </w:rPr>
        <w:t>ratio and 101 companies</w:t>
      </w:r>
      <w:r w:rsidR="002A42E0" w:rsidRPr="00256EEC">
        <w:rPr>
          <w:color w:val="000000"/>
          <w:szCs w:val="20"/>
        </w:rPr>
        <w:t xml:space="preserve"> that experienced an increase in their</w:t>
      </w:r>
      <w:r>
        <w:rPr>
          <w:color w:val="000000"/>
          <w:szCs w:val="20"/>
        </w:rPr>
        <w:t xml:space="preserve"> current ratio during the COVID</w:t>
      </w:r>
      <w:r>
        <w:rPr>
          <w:color w:val="000000"/>
          <w:szCs w:val="20"/>
          <w:lang w:val="id-ID"/>
        </w:rPr>
        <w:t>-</w:t>
      </w:r>
      <w:r w:rsidR="002A42E0" w:rsidRPr="00256EEC">
        <w:rPr>
          <w:color w:val="000000"/>
          <w:szCs w:val="20"/>
        </w:rPr>
        <w:t xml:space="preserve">19 pandemic, as shown by the negative ranks at the N value of </w:t>
      </w:r>
      <w:r>
        <w:rPr>
          <w:color w:val="000000"/>
          <w:szCs w:val="20"/>
        </w:rPr>
        <w:t xml:space="preserve">113 and the </w:t>
      </w:r>
      <w:r>
        <w:rPr>
          <w:color w:val="000000"/>
          <w:szCs w:val="20"/>
          <w:lang w:val="id-ID"/>
        </w:rPr>
        <w:t>positive</w:t>
      </w:r>
      <w:r w:rsidR="002A42E0" w:rsidRPr="00256EEC">
        <w:rPr>
          <w:color w:val="000000"/>
          <w:szCs w:val="20"/>
        </w:rPr>
        <w:t xml:space="preserve"> ranks at the N value of 101. Table 5 also shows that 108 companies experienced a decrease in DER value and 106 companies experienced an increase in DER value during the COVID-19 pandemic as indicated by the negative ranks at the N value of 108 and positive ranks of 106. Based on ROA value, 114 companies experienced a decrease in ROA value and 100 companies experienced an increase in ROA value during the COVID-19 pandemic as indicated by the negative ranks value at the N </w:t>
      </w:r>
      <w:r w:rsidR="002A42E0" w:rsidRPr="00256EEC">
        <w:rPr>
          <w:color w:val="000000"/>
          <w:szCs w:val="20"/>
        </w:rPr>
        <w:lastRenderedPageBreak/>
        <w:t>value of 114 and positive ranks at the N value of 100. Based on the receivable turnover value, 72 companies experienced a decrease in the receivable turnover value and 140 companies experienced an increase in the receivable turnover value during the COVID-19 pandemic as indicated by the negative ranks at the N value of 72, and positive ranks at the N value of 140. The ties values of the cur</w:t>
      </w:r>
      <w:r>
        <w:rPr>
          <w:color w:val="000000"/>
          <w:szCs w:val="20"/>
        </w:rPr>
        <w:t>rent ratio</w:t>
      </w:r>
      <w:r w:rsidR="002A42E0" w:rsidRPr="00256EEC">
        <w:rPr>
          <w:color w:val="000000"/>
          <w:szCs w:val="20"/>
        </w:rPr>
        <w:t>, DER, and ROA are 0, which means that there are no the same values for the current ratio, DER, and ROA between before and</w:t>
      </w:r>
      <w:r>
        <w:rPr>
          <w:color w:val="000000"/>
          <w:szCs w:val="20"/>
        </w:rPr>
        <w:t xml:space="preserve"> during the COVID</w:t>
      </w:r>
      <w:r>
        <w:rPr>
          <w:color w:val="000000"/>
          <w:szCs w:val="20"/>
          <w:lang w:val="id-ID"/>
        </w:rPr>
        <w:t>-</w:t>
      </w:r>
      <w:r w:rsidR="002A42E0" w:rsidRPr="00256EEC">
        <w:rPr>
          <w:color w:val="000000"/>
          <w:szCs w:val="20"/>
        </w:rPr>
        <w:t>19 pandemic, while the value of the ties of receivable turnover is 2, which means that there are two companies that have the same receivable turnover val</w:t>
      </w:r>
      <w:r>
        <w:rPr>
          <w:color w:val="000000"/>
          <w:szCs w:val="20"/>
        </w:rPr>
        <w:t>ues before and during the COVID</w:t>
      </w:r>
      <w:r>
        <w:rPr>
          <w:color w:val="000000"/>
          <w:szCs w:val="20"/>
          <w:lang w:val="id-ID"/>
        </w:rPr>
        <w:t>-</w:t>
      </w:r>
      <w:r>
        <w:rPr>
          <w:color w:val="000000"/>
          <w:szCs w:val="20"/>
        </w:rPr>
        <w:t xml:space="preserve">19 </w:t>
      </w:r>
      <w:r>
        <w:rPr>
          <w:color w:val="000000"/>
          <w:szCs w:val="20"/>
          <w:lang w:val="id-ID"/>
        </w:rPr>
        <w:t>pandemic</w:t>
      </w:r>
      <w:r w:rsidR="002A42E0" w:rsidRPr="00256EEC">
        <w:rPr>
          <w:color w:val="000000"/>
          <w:szCs w:val="20"/>
        </w:rPr>
        <w:t>.</w:t>
      </w:r>
    </w:p>
    <w:p w:rsidR="003419A2" w:rsidRDefault="003419A2" w:rsidP="003419A2">
      <w:pPr>
        <w:pStyle w:val="Ventura-Content"/>
        <w:ind w:firstLine="0"/>
        <w:rPr>
          <w:color w:val="000000"/>
          <w:szCs w:val="20"/>
          <w:lang w:val="id-ID"/>
        </w:rPr>
      </w:pPr>
    </w:p>
    <w:p w:rsidR="003419A2" w:rsidRDefault="00E90A84" w:rsidP="0090289B">
      <w:pPr>
        <w:pStyle w:val="Ventura-Content"/>
        <w:ind w:firstLine="0"/>
        <w:jc w:val="center"/>
        <w:rPr>
          <w:color w:val="000000"/>
          <w:szCs w:val="20"/>
          <w:lang w:val="id-ID"/>
        </w:rPr>
      </w:pPr>
      <w:r>
        <w:rPr>
          <w:color w:val="000000"/>
          <w:szCs w:val="20"/>
          <w:lang w:val="id-ID"/>
        </w:rPr>
        <w:t>Table</w:t>
      </w:r>
      <w:r w:rsidR="002A42E0" w:rsidRPr="00256EEC">
        <w:rPr>
          <w:color w:val="000000"/>
          <w:szCs w:val="20"/>
        </w:rPr>
        <w:t xml:space="preserve"> 5</w:t>
      </w:r>
      <w:r w:rsidR="00C1168B">
        <w:rPr>
          <w:color w:val="000000"/>
          <w:szCs w:val="20"/>
          <w:lang w:val="id-ID"/>
        </w:rPr>
        <w:t xml:space="preserve">. </w:t>
      </w:r>
      <w:r w:rsidR="00C1168B">
        <w:rPr>
          <w:color w:val="000000"/>
          <w:szCs w:val="20"/>
        </w:rPr>
        <w:t>Wilcoxon Signed</w:t>
      </w:r>
      <w:r w:rsidR="00C1168B">
        <w:rPr>
          <w:color w:val="000000"/>
          <w:szCs w:val="20"/>
          <w:lang w:val="id-ID"/>
        </w:rPr>
        <w:t>-</w:t>
      </w:r>
      <w:r w:rsidR="002A42E0" w:rsidRPr="00256EEC">
        <w:rPr>
          <w:color w:val="000000"/>
          <w:szCs w:val="20"/>
        </w:rPr>
        <w:t xml:space="preserve">Rank </w:t>
      </w:r>
      <w:r w:rsidR="00C1168B" w:rsidRPr="00256EEC">
        <w:rPr>
          <w:color w:val="000000"/>
          <w:szCs w:val="20"/>
        </w:rPr>
        <w:t>test results</w:t>
      </w:r>
    </w:p>
    <w:tbl>
      <w:tblPr>
        <w:tblW w:w="7938" w:type="dxa"/>
        <w:tblInd w:w="56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52"/>
        <w:gridCol w:w="1843"/>
        <w:gridCol w:w="708"/>
        <w:gridCol w:w="1418"/>
        <w:gridCol w:w="1417"/>
      </w:tblGrid>
      <w:tr w:rsidR="00C373BA" w:rsidTr="00B901A9">
        <w:trPr>
          <w:cantSplit/>
          <w:trHeight w:val="179"/>
        </w:trPr>
        <w:tc>
          <w:tcPr>
            <w:tcW w:w="4395" w:type="dxa"/>
            <w:gridSpan w:val="2"/>
            <w:tcBorders>
              <w:top w:val="single" w:sz="4" w:space="0" w:color="auto"/>
              <w:bottom w:val="single" w:sz="4" w:space="0" w:color="auto"/>
            </w:tcBorders>
            <w:shd w:val="clear" w:color="auto" w:fill="FFFFFF"/>
            <w:vAlign w:val="bottom"/>
          </w:tcPr>
          <w:p w:rsidR="00C1168B" w:rsidRPr="00C1168B" w:rsidRDefault="00C1168B" w:rsidP="00B901A9">
            <w:pPr>
              <w:autoSpaceDE w:val="0"/>
              <w:autoSpaceDN w:val="0"/>
              <w:adjustRightInd w:val="0"/>
              <w:jc w:val="left"/>
              <w:rPr>
                <w:rFonts w:ascii="Book Antiqua" w:hAnsi="Book Antiqua"/>
                <w:szCs w:val="20"/>
              </w:rPr>
            </w:pPr>
          </w:p>
        </w:tc>
        <w:tc>
          <w:tcPr>
            <w:tcW w:w="708" w:type="dxa"/>
            <w:tcBorders>
              <w:top w:val="single" w:sz="4" w:space="0" w:color="auto"/>
              <w:bottom w:val="single" w:sz="4" w:space="0" w:color="auto"/>
            </w:tcBorders>
            <w:shd w:val="clear" w:color="auto" w:fill="FFFFFF"/>
            <w:vAlign w:val="bottom"/>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N</w:t>
            </w:r>
          </w:p>
        </w:tc>
        <w:tc>
          <w:tcPr>
            <w:tcW w:w="1418" w:type="dxa"/>
            <w:tcBorders>
              <w:top w:val="single" w:sz="4" w:space="0" w:color="auto"/>
              <w:bottom w:val="single" w:sz="4" w:space="0" w:color="auto"/>
            </w:tcBorders>
            <w:shd w:val="clear" w:color="auto" w:fill="FFFFFF"/>
            <w:vAlign w:val="bottom"/>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Mean Rank</w:t>
            </w:r>
          </w:p>
        </w:tc>
        <w:tc>
          <w:tcPr>
            <w:tcW w:w="1417" w:type="dxa"/>
            <w:tcBorders>
              <w:top w:val="single" w:sz="4" w:space="0" w:color="auto"/>
              <w:bottom w:val="single" w:sz="4" w:space="0" w:color="auto"/>
            </w:tcBorders>
            <w:shd w:val="clear" w:color="auto" w:fill="FFFFFF"/>
            <w:vAlign w:val="bottom"/>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Sum of Ranks</w:t>
            </w:r>
          </w:p>
        </w:tc>
      </w:tr>
      <w:tr w:rsidR="00C373BA" w:rsidTr="00B901A9">
        <w:trPr>
          <w:cantSplit/>
          <w:trHeight w:val="188"/>
        </w:trPr>
        <w:tc>
          <w:tcPr>
            <w:tcW w:w="2552" w:type="dxa"/>
            <w:vMerge w:val="restart"/>
            <w:tcBorders>
              <w:top w:val="single" w:sz="4" w:space="0" w:color="auto"/>
            </w:tcBorders>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CR_</w:t>
            </w:r>
            <w:r w:rsidRPr="00C1168B">
              <w:rPr>
                <w:rFonts w:ascii="Book Antiqua" w:hAnsi="Book Antiqua"/>
                <w:szCs w:val="20"/>
                <w:lang w:val="id-ID"/>
              </w:rPr>
              <w:t xml:space="preserve">during </w:t>
            </w:r>
            <w:r w:rsidRPr="00C1168B">
              <w:rPr>
                <w:rFonts w:ascii="Book Antiqua" w:hAnsi="Book Antiqua"/>
                <w:szCs w:val="20"/>
              </w:rPr>
              <w:t xml:space="preserve"> </w:t>
            </w:r>
            <w:r w:rsidR="0090289B">
              <w:rPr>
                <w:rFonts w:ascii="Book Antiqua" w:hAnsi="Book Antiqua"/>
                <w:szCs w:val="20"/>
              </w:rPr>
              <w:t>COVID</w:t>
            </w:r>
            <w:r w:rsidR="0090289B">
              <w:rPr>
                <w:rFonts w:ascii="Book Antiqua" w:hAnsi="Book Antiqua"/>
                <w:szCs w:val="20"/>
                <w:lang w:val="id-ID"/>
              </w:rPr>
              <w:t>-</w:t>
            </w:r>
            <w:r w:rsidR="0090289B" w:rsidRPr="00C1168B">
              <w:rPr>
                <w:rFonts w:ascii="Book Antiqua" w:hAnsi="Book Antiqua"/>
                <w:szCs w:val="20"/>
              </w:rPr>
              <w:t xml:space="preserve">19 </w:t>
            </w:r>
            <w:r w:rsidRPr="00C1168B">
              <w:rPr>
                <w:rFonts w:ascii="Book Antiqua" w:hAnsi="Book Antiqua"/>
                <w:szCs w:val="20"/>
              </w:rPr>
              <w:t>- CR_</w:t>
            </w:r>
            <w:r w:rsidRPr="00C1168B">
              <w:rPr>
                <w:rFonts w:ascii="Book Antiqua" w:hAnsi="Book Antiqua"/>
                <w:szCs w:val="20"/>
                <w:lang w:val="id-ID"/>
              </w:rPr>
              <w:t>before</w:t>
            </w:r>
            <w:r w:rsidRPr="00C1168B">
              <w:rPr>
                <w:rFonts w:ascii="Book Antiqua" w:hAnsi="Book Antiqua"/>
                <w:szCs w:val="20"/>
              </w:rPr>
              <w:t xml:space="preserve"> </w:t>
            </w:r>
            <w:r w:rsidR="0090289B">
              <w:rPr>
                <w:rFonts w:ascii="Book Antiqua" w:hAnsi="Book Antiqua"/>
                <w:szCs w:val="20"/>
              </w:rPr>
              <w:t>COVID</w:t>
            </w:r>
            <w:r w:rsidR="0090289B">
              <w:rPr>
                <w:rFonts w:ascii="Book Antiqua" w:hAnsi="Book Antiqua"/>
                <w:szCs w:val="20"/>
                <w:lang w:val="id-ID"/>
              </w:rPr>
              <w:t>-</w:t>
            </w:r>
            <w:r w:rsidR="0090289B" w:rsidRPr="00C1168B">
              <w:rPr>
                <w:rFonts w:ascii="Book Antiqua" w:hAnsi="Book Antiqua"/>
                <w:szCs w:val="20"/>
              </w:rPr>
              <w:t>19</w:t>
            </w:r>
          </w:p>
        </w:tc>
        <w:tc>
          <w:tcPr>
            <w:tcW w:w="1843" w:type="dxa"/>
            <w:tcBorders>
              <w:top w:val="single" w:sz="4" w:space="0" w:color="auto"/>
            </w:tcBorders>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Negative Ranks</w:t>
            </w:r>
          </w:p>
        </w:tc>
        <w:tc>
          <w:tcPr>
            <w:tcW w:w="708" w:type="dxa"/>
            <w:tcBorders>
              <w:top w:val="single" w:sz="4" w:space="0" w:color="auto"/>
            </w:tcBorders>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113</w:t>
            </w:r>
            <w:r w:rsidRPr="00C1168B">
              <w:rPr>
                <w:rFonts w:ascii="Book Antiqua" w:hAnsi="Book Antiqua"/>
                <w:szCs w:val="20"/>
                <w:vertAlign w:val="superscript"/>
              </w:rPr>
              <w:t>a</w:t>
            </w:r>
          </w:p>
        </w:tc>
        <w:tc>
          <w:tcPr>
            <w:tcW w:w="1418" w:type="dxa"/>
            <w:tcBorders>
              <w:top w:val="single" w:sz="4" w:space="0" w:color="auto"/>
            </w:tcBorders>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60.29</w:t>
            </w:r>
          </w:p>
        </w:tc>
        <w:tc>
          <w:tcPr>
            <w:tcW w:w="1417" w:type="dxa"/>
            <w:tcBorders>
              <w:top w:val="single" w:sz="4" w:space="0" w:color="auto"/>
            </w:tcBorders>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6812.77</w:t>
            </w:r>
          </w:p>
        </w:tc>
      </w:tr>
      <w:tr w:rsidR="00C373BA" w:rsidTr="00B901A9">
        <w:trPr>
          <w:cantSplit/>
          <w:trHeight w:val="145"/>
        </w:trPr>
        <w:tc>
          <w:tcPr>
            <w:tcW w:w="2552" w:type="dxa"/>
            <w:vMerge/>
            <w:shd w:val="clear" w:color="auto" w:fill="auto"/>
          </w:tcPr>
          <w:p w:rsidR="00C1168B" w:rsidRPr="00C1168B" w:rsidRDefault="00C1168B" w:rsidP="00B901A9">
            <w:pPr>
              <w:autoSpaceDE w:val="0"/>
              <w:autoSpaceDN w:val="0"/>
              <w:adjustRightInd w:val="0"/>
              <w:jc w:val="left"/>
              <w:rPr>
                <w:rFonts w:ascii="Book Antiqua" w:hAnsi="Book Antiqua"/>
                <w:szCs w:val="20"/>
              </w:rPr>
            </w:pPr>
          </w:p>
        </w:tc>
        <w:tc>
          <w:tcPr>
            <w:tcW w:w="1843" w:type="dxa"/>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Positive Ranks</w:t>
            </w:r>
          </w:p>
        </w:tc>
        <w:tc>
          <w:tcPr>
            <w:tcW w:w="70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101</w:t>
            </w:r>
            <w:r w:rsidRPr="00C1168B">
              <w:rPr>
                <w:rFonts w:ascii="Book Antiqua" w:hAnsi="Book Antiqua"/>
                <w:szCs w:val="20"/>
                <w:vertAlign w:val="superscript"/>
              </w:rPr>
              <w:t>b</w:t>
            </w:r>
          </w:p>
        </w:tc>
        <w:tc>
          <w:tcPr>
            <w:tcW w:w="141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56.11</w:t>
            </w:r>
          </w:p>
        </w:tc>
        <w:tc>
          <w:tcPr>
            <w:tcW w:w="1417"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5667.11</w:t>
            </w:r>
          </w:p>
        </w:tc>
      </w:tr>
      <w:tr w:rsidR="00C373BA" w:rsidTr="00B901A9">
        <w:trPr>
          <w:cantSplit/>
          <w:trHeight w:val="145"/>
        </w:trPr>
        <w:tc>
          <w:tcPr>
            <w:tcW w:w="2552" w:type="dxa"/>
            <w:vMerge/>
            <w:shd w:val="clear" w:color="auto" w:fill="auto"/>
          </w:tcPr>
          <w:p w:rsidR="00C1168B" w:rsidRPr="00C1168B" w:rsidRDefault="00C1168B" w:rsidP="00B901A9">
            <w:pPr>
              <w:autoSpaceDE w:val="0"/>
              <w:autoSpaceDN w:val="0"/>
              <w:adjustRightInd w:val="0"/>
              <w:jc w:val="left"/>
              <w:rPr>
                <w:rFonts w:ascii="Book Antiqua" w:hAnsi="Book Antiqua"/>
                <w:szCs w:val="20"/>
              </w:rPr>
            </w:pPr>
          </w:p>
        </w:tc>
        <w:tc>
          <w:tcPr>
            <w:tcW w:w="1843" w:type="dxa"/>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Ties</w:t>
            </w:r>
          </w:p>
        </w:tc>
        <w:tc>
          <w:tcPr>
            <w:tcW w:w="70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0</w:t>
            </w:r>
            <w:r w:rsidRPr="00C1168B">
              <w:rPr>
                <w:rFonts w:ascii="Book Antiqua" w:hAnsi="Book Antiqua"/>
                <w:szCs w:val="20"/>
                <w:vertAlign w:val="superscript"/>
              </w:rPr>
              <w:t>c</w:t>
            </w:r>
          </w:p>
        </w:tc>
        <w:tc>
          <w:tcPr>
            <w:tcW w:w="1418"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c>
          <w:tcPr>
            <w:tcW w:w="1417"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r>
      <w:tr w:rsidR="00C373BA" w:rsidTr="00B901A9">
        <w:trPr>
          <w:cantSplit/>
          <w:trHeight w:val="145"/>
        </w:trPr>
        <w:tc>
          <w:tcPr>
            <w:tcW w:w="2552" w:type="dxa"/>
            <w:vMerge/>
            <w:shd w:val="clear" w:color="auto" w:fill="auto"/>
          </w:tcPr>
          <w:p w:rsidR="00C1168B" w:rsidRPr="00C1168B" w:rsidRDefault="00C1168B" w:rsidP="00B901A9">
            <w:pPr>
              <w:autoSpaceDE w:val="0"/>
              <w:autoSpaceDN w:val="0"/>
              <w:adjustRightInd w:val="0"/>
              <w:jc w:val="left"/>
              <w:rPr>
                <w:rFonts w:ascii="Book Antiqua" w:hAnsi="Book Antiqua"/>
                <w:szCs w:val="20"/>
              </w:rPr>
            </w:pPr>
          </w:p>
        </w:tc>
        <w:tc>
          <w:tcPr>
            <w:tcW w:w="1843" w:type="dxa"/>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Total</w:t>
            </w:r>
          </w:p>
        </w:tc>
        <w:tc>
          <w:tcPr>
            <w:tcW w:w="70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214</w:t>
            </w:r>
          </w:p>
        </w:tc>
        <w:tc>
          <w:tcPr>
            <w:tcW w:w="1418"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c>
          <w:tcPr>
            <w:tcW w:w="1417"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r>
      <w:tr w:rsidR="00C373BA" w:rsidTr="00B901A9">
        <w:trPr>
          <w:cantSplit/>
          <w:trHeight w:val="53"/>
        </w:trPr>
        <w:tc>
          <w:tcPr>
            <w:tcW w:w="2552" w:type="dxa"/>
            <w:vMerge w:val="restart"/>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DER_</w:t>
            </w:r>
            <w:r w:rsidRPr="00C1168B">
              <w:rPr>
                <w:rFonts w:ascii="Book Antiqua" w:hAnsi="Book Antiqua"/>
                <w:szCs w:val="20"/>
                <w:lang w:val="id-ID"/>
              </w:rPr>
              <w:t>during</w:t>
            </w:r>
            <w:r w:rsidRPr="00C1168B">
              <w:rPr>
                <w:rFonts w:ascii="Book Antiqua" w:hAnsi="Book Antiqua"/>
                <w:szCs w:val="20"/>
              </w:rPr>
              <w:t xml:space="preserve"> </w:t>
            </w:r>
            <w:r w:rsidR="0090289B">
              <w:rPr>
                <w:rFonts w:ascii="Book Antiqua" w:hAnsi="Book Antiqua"/>
                <w:szCs w:val="20"/>
              </w:rPr>
              <w:t>COVID</w:t>
            </w:r>
            <w:r w:rsidR="0090289B">
              <w:rPr>
                <w:rFonts w:ascii="Book Antiqua" w:hAnsi="Book Antiqua"/>
                <w:szCs w:val="20"/>
                <w:lang w:val="id-ID"/>
              </w:rPr>
              <w:t>-</w:t>
            </w:r>
            <w:r w:rsidR="0090289B" w:rsidRPr="00C1168B">
              <w:rPr>
                <w:rFonts w:ascii="Book Antiqua" w:hAnsi="Book Antiqua"/>
                <w:szCs w:val="20"/>
              </w:rPr>
              <w:t xml:space="preserve">19 </w:t>
            </w:r>
            <w:r w:rsidRPr="00C1168B">
              <w:rPr>
                <w:rFonts w:ascii="Book Antiqua" w:hAnsi="Book Antiqua"/>
                <w:szCs w:val="20"/>
              </w:rPr>
              <w:t>- DER_</w:t>
            </w:r>
            <w:r w:rsidRPr="00C1168B">
              <w:rPr>
                <w:rFonts w:ascii="Book Antiqua" w:hAnsi="Book Antiqua"/>
                <w:szCs w:val="20"/>
                <w:lang w:val="id-ID"/>
              </w:rPr>
              <w:t>before</w:t>
            </w:r>
            <w:r w:rsidRPr="00C1168B">
              <w:rPr>
                <w:rFonts w:ascii="Book Antiqua" w:hAnsi="Book Antiqua"/>
                <w:szCs w:val="20"/>
              </w:rPr>
              <w:t xml:space="preserve"> </w:t>
            </w:r>
            <w:r w:rsidR="0090289B">
              <w:rPr>
                <w:rFonts w:ascii="Book Antiqua" w:hAnsi="Book Antiqua"/>
                <w:szCs w:val="20"/>
              </w:rPr>
              <w:t>COVID</w:t>
            </w:r>
            <w:r w:rsidR="0090289B">
              <w:rPr>
                <w:rFonts w:ascii="Book Antiqua" w:hAnsi="Book Antiqua"/>
                <w:szCs w:val="20"/>
                <w:lang w:val="id-ID"/>
              </w:rPr>
              <w:t>-</w:t>
            </w:r>
            <w:r w:rsidR="0090289B" w:rsidRPr="00C1168B">
              <w:rPr>
                <w:rFonts w:ascii="Book Antiqua" w:hAnsi="Book Antiqua"/>
                <w:szCs w:val="20"/>
              </w:rPr>
              <w:t>19</w:t>
            </w:r>
          </w:p>
        </w:tc>
        <w:tc>
          <w:tcPr>
            <w:tcW w:w="1843" w:type="dxa"/>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Negative Ranks</w:t>
            </w:r>
          </w:p>
        </w:tc>
        <w:tc>
          <w:tcPr>
            <w:tcW w:w="70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108</w:t>
            </w:r>
            <w:r w:rsidRPr="00C1168B">
              <w:rPr>
                <w:rFonts w:ascii="Book Antiqua" w:hAnsi="Book Antiqua"/>
                <w:szCs w:val="20"/>
                <w:vertAlign w:val="superscript"/>
              </w:rPr>
              <w:t>d</w:t>
            </w:r>
          </w:p>
        </w:tc>
        <w:tc>
          <w:tcPr>
            <w:tcW w:w="141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57.18</w:t>
            </w:r>
          </w:p>
        </w:tc>
        <w:tc>
          <w:tcPr>
            <w:tcW w:w="1417"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6175.44</w:t>
            </w:r>
          </w:p>
        </w:tc>
      </w:tr>
      <w:tr w:rsidR="00C373BA" w:rsidTr="00B901A9">
        <w:trPr>
          <w:cantSplit/>
          <w:trHeight w:val="145"/>
        </w:trPr>
        <w:tc>
          <w:tcPr>
            <w:tcW w:w="2552" w:type="dxa"/>
            <w:vMerge/>
            <w:shd w:val="clear" w:color="auto" w:fill="auto"/>
          </w:tcPr>
          <w:p w:rsidR="00C1168B" w:rsidRPr="00C1168B" w:rsidRDefault="00C1168B" w:rsidP="00B901A9">
            <w:pPr>
              <w:autoSpaceDE w:val="0"/>
              <w:autoSpaceDN w:val="0"/>
              <w:adjustRightInd w:val="0"/>
              <w:jc w:val="left"/>
              <w:rPr>
                <w:rFonts w:ascii="Book Antiqua" w:hAnsi="Book Antiqua"/>
                <w:szCs w:val="20"/>
              </w:rPr>
            </w:pPr>
          </w:p>
        </w:tc>
        <w:tc>
          <w:tcPr>
            <w:tcW w:w="1843" w:type="dxa"/>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Positive Ranks</w:t>
            </w:r>
          </w:p>
        </w:tc>
        <w:tc>
          <w:tcPr>
            <w:tcW w:w="70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106</w:t>
            </w:r>
            <w:r w:rsidRPr="00C1168B">
              <w:rPr>
                <w:rFonts w:ascii="Book Antiqua" w:hAnsi="Book Antiqua"/>
                <w:szCs w:val="20"/>
                <w:vertAlign w:val="superscript"/>
              </w:rPr>
              <w:t>e</w:t>
            </w:r>
          </w:p>
        </w:tc>
        <w:tc>
          <w:tcPr>
            <w:tcW w:w="141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60.98</w:t>
            </w:r>
          </w:p>
        </w:tc>
        <w:tc>
          <w:tcPr>
            <w:tcW w:w="1417"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6463.88</w:t>
            </w:r>
          </w:p>
        </w:tc>
      </w:tr>
      <w:tr w:rsidR="00C373BA" w:rsidTr="00B901A9">
        <w:trPr>
          <w:cantSplit/>
          <w:trHeight w:val="145"/>
        </w:trPr>
        <w:tc>
          <w:tcPr>
            <w:tcW w:w="2552" w:type="dxa"/>
            <w:vMerge/>
            <w:shd w:val="clear" w:color="auto" w:fill="auto"/>
          </w:tcPr>
          <w:p w:rsidR="00C1168B" w:rsidRPr="00C1168B" w:rsidRDefault="00C1168B" w:rsidP="00B901A9">
            <w:pPr>
              <w:autoSpaceDE w:val="0"/>
              <w:autoSpaceDN w:val="0"/>
              <w:adjustRightInd w:val="0"/>
              <w:jc w:val="left"/>
              <w:rPr>
                <w:rFonts w:ascii="Book Antiqua" w:hAnsi="Book Antiqua"/>
                <w:szCs w:val="20"/>
              </w:rPr>
            </w:pPr>
          </w:p>
        </w:tc>
        <w:tc>
          <w:tcPr>
            <w:tcW w:w="1843" w:type="dxa"/>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Ties</w:t>
            </w:r>
          </w:p>
        </w:tc>
        <w:tc>
          <w:tcPr>
            <w:tcW w:w="70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0</w:t>
            </w:r>
            <w:r w:rsidRPr="00C1168B">
              <w:rPr>
                <w:rFonts w:ascii="Book Antiqua" w:hAnsi="Book Antiqua"/>
                <w:szCs w:val="20"/>
                <w:vertAlign w:val="superscript"/>
              </w:rPr>
              <w:t>f</w:t>
            </w:r>
          </w:p>
        </w:tc>
        <w:tc>
          <w:tcPr>
            <w:tcW w:w="1418"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c>
          <w:tcPr>
            <w:tcW w:w="1417"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r>
      <w:tr w:rsidR="00C373BA" w:rsidTr="00B901A9">
        <w:trPr>
          <w:cantSplit/>
          <w:trHeight w:val="145"/>
        </w:trPr>
        <w:tc>
          <w:tcPr>
            <w:tcW w:w="2552" w:type="dxa"/>
            <w:vMerge/>
            <w:shd w:val="clear" w:color="auto" w:fill="auto"/>
          </w:tcPr>
          <w:p w:rsidR="00C1168B" w:rsidRPr="00C1168B" w:rsidRDefault="00C1168B" w:rsidP="00B901A9">
            <w:pPr>
              <w:autoSpaceDE w:val="0"/>
              <w:autoSpaceDN w:val="0"/>
              <w:adjustRightInd w:val="0"/>
              <w:jc w:val="left"/>
              <w:rPr>
                <w:rFonts w:ascii="Book Antiqua" w:hAnsi="Book Antiqua"/>
                <w:szCs w:val="20"/>
              </w:rPr>
            </w:pPr>
          </w:p>
        </w:tc>
        <w:tc>
          <w:tcPr>
            <w:tcW w:w="1843" w:type="dxa"/>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Total</w:t>
            </w:r>
          </w:p>
        </w:tc>
        <w:tc>
          <w:tcPr>
            <w:tcW w:w="70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214</w:t>
            </w:r>
          </w:p>
        </w:tc>
        <w:tc>
          <w:tcPr>
            <w:tcW w:w="1418"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c>
          <w:tcPr>
            <w:tcW w:w="1417"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r>
      <w:tr w:rsidR="00C373BA" w:rsidTr="00B901A9">
        <w:trPr>
          <w:cantSplit/>
          <w:trHeight w:val="145"/>
        </w:trPr>
        <w:tc>
          <w:tcPr>
            <w:tcW w:w="2552" w:type="dxa"/>
            <w:vMerge w:val="restart"/>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ROA_</w:t>
            </w:r>
            <w:r w:rsidRPr="00C1168B">
              <w:rPr>
                <w:rFonts w:ascii="Book Antiqua" w:hAnsi="Book Antiqua"/>
                <w:szCs w:val="20"/>
                <w:lang w:val="id-ID"/>
              </w:rPr>
              <w:t>during</w:t>
            </w:r>
            <w:r w:rsidRPr="00C1168B">
              <w:rPr>
                <w:rFonts w:ascii="Book Antiqua" w:hAnsi="Book Antiqua"/>
                <w:szCs w:val="20"/>
              </w:rPr>
              <w:t xml:space="preserve"> </w:t>
            </w:r>
            <w:r w:rsidR="0090289B">
              <w:rPr>
                <w:rFonts w:ascii="Book Antiqua" w:hAnsi="Book Antiqua"/>
                <w:szCs w:val="20"/>
              </w:rPr>
              <w:t>COVID</w:t>
            </w:r>
            <w:r w:rsidR="0090289B">
              <w:rPr>
                <w:rFonts w:ascii="Book Antiqua" w:hAnsi="Book Antiqua"/>
                <w:szCs w:val="20"/>
                <w:lang w:val="id-ID"/>
              </w:rPr>
              <w:t>-</w:t>
            </w:r>
            <w:r w:rsidR="0090289B" w:rsidRPr="00C1168B">
              <w:rPr>
                <w:rFonts w:ascii="Book Antiqua" w:hAnsi="Book Antiqua"/>
                <w:szCs w:val="20"/>
              </w:rPr>
              <w:t xml:space="preserve">19 </w:t>
            </w:r>
            <w:r w:rsidRPr="00C1168B">
              <w:rPr>
                <w:rFonts w:ascii="Book Antiqua" w:hAnsi="Book Antiqua"/>
                <w:szCs w:val="20"/>
              </w:rPr>
              <w:t>- ROA_</w:t>
            </w:r>
            <w:r w:rsidRPr="00C1168B">
              <w:rPr>
                <w:rFonts w:ascii="Book Antiqua" w:hAnsi="Book Antiqua"/>
                <w:szCs w:val="20"/>
                <w:lang w:val="id-ID"/>
              </w:rPr>
              <w:t>before</w:t>
            </w:r>
            <w:r w:rsidRPr="00C1168B">
              <w:rPr>
                <w:rFonts w:ascii="Book Antiqua" w:hAnsi="Book Antiqua"/>
                <w:szCs w:val="20"/>
              </w:rPr>
              <w:t xml:space="preserve"> </w:t>
            </w:r>
            <w:r w:rsidR="0090289B">
              <w:rPr>
                <w:rFonts w:ascii="Book Antiqua" w:hAnsi="Book Antiqua"/>
                <w:szCs w:val="20"/>
              </w:rPr>
              <w:t>COVID</w:t>
            </w:r>
            <w:r w:rsidR="0090289B">
              <w:rPr>
                <w:rFonts w:ascii="Book Antiqua" w:hAnsi="Book Antiqua"/>
                <w:szCs w:val="20"/>
                <w:lang w:val="id-ID"/>
              </w:rPr>
              <w:t>-</w:t>
            </w:r>
            <w:r w:rsidR="0090289B" w:rsidRPr="00C1168B">
              <w:rPr>
                <w:rFonts w:ascii="Book Antiqua" w:hAnsi="Book Antiqua"/>
                <w:szCs w:val="20"/>
              </w:rPr>
              <w:t>19</w:t>
            </w:r>
          </w:p>
        </w:tc>
        <w:tc>
          <w:tcPr>
            <w:tcW w:w="1843" w:type="dxa"/>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Negative Ranks</w:t>
            </w:r>
          </w:p>
        </w:tc>
        <w:tc>
          <w:tcPr>
            <w:tcW w:w="70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114</w:t>
            </w:r>
            <w:r w:rsidRPr="00C1168B">
              <w:rPr>
                <w:rFonts w:ascii="Book Antiqua" w:hAnsi="Book Antiqua"/>
                <w:szCs w:val="20"/>
                <w:vertAlign w:val="superscript"/>
              </w:rPr>
              <w:t>g</w:t>
            </w:r>
          </w:p>
        </w:tc>
        <w:tc>
          <w:tcPr>
            <w:tcW w:w="141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64.82</w:t>
            </w:r>
          </w:p>
        </w:tc>
        <w:tc>
          <w:tcPr>
            <w:tcW w:w="1417"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7389.48</w:t>
            </w:r>
          </w:p>
        </w:tc>
      </w:tr>
      <w:tr w:rsidR="00C373BA" w:rsidTr="00B901A9">
        <w:trPr>
          <w:cantSplit/>
          <w:trHeight w:val="145"/>
        </w:trPr>
        <w:tc>
          <w:tcPr>
            <w:tcW w:w="2552" w:type="dxa"/>
            <w:vMerge/>
            <w:shd w:val="clear" w:color="auto" w:fill="auto"/>
          </w:tcPr>
          <w:p w:rsidR="00C1168B" w:rsidRPr="00C1168B" w:rsidRDefault="00C1168B" w:rsidP="00B901A9">
            <w:pPr>
              <w:autoSpaceDE w:val="0"/>
              <w:autoSpaceDN w:val="0"/>
              <w:adjustRightInd w:val="0"/>
              <w:jc w:val="left"/>
              <w:rPr>
                <w:rFonts w:ascii="Book Antiqua" w:hAnsi="Book Antiqua"/>
                <w:szCs w:val="20"/>
              </w:rPr>
            </w:pPr>
          </w:p>
        </w:tc>
        <w:tc>
          <w:tcPr>
            <w:tcW w:w="1843" w:type="dxa"/>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Positive Ranks</w:t>
            </w:r>
          </w:p>
        </w:tc>
        <w:tc>
          <w:tcPr>
            <w:tcW w:w="70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100</w:t>
            </w:r>
            <w:r w:rsidRPr="00C1168B">
              <w:rPr>
                <w:rFonts w:ascii="Book Antiqua" w:hAnsi="Book Antiqua"/>
                <w:szCs w:val="20"/>
                <w:vertAlign w:val="superscript"/>
              </w:rPr>
              <w:t>h</w:t>
            </w:r>
          </w:p>
        </w:tc>
        <w:tc>
          <w:tcPr>
            <w:tcW w:w="141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42.69</w:t>
            </w:r>
          </w:p>
        </w:tc>
        <w:tc>
          <w:tcPr>
            <w:tcW w:w="1417"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4269.00</w:t>
            </w:r>
          </w:p>
        </w:tc>
      </w:tr>
      <w:tr w:rsidR="00C373BA" w:rsidTr="00B901A9">
        <w:trPr>
          <w:cantSplit/>
          <w:trHeight w:val="145"/>
        </w:trPr>
        <w:tc>
          <w:tcPr>
            <w:tcW w:w="2552" w:type="dxa"/>
            <w:vMerge/>
            <w:shd w:val="clear" w:color="auto" w:fill="auto"/>
          </w:tcPr>
          <w:p w:rsidR="00C1168B" w:rsidRPr="00C1168B" w:rsidRDefault="00C1168B" w:rsidP="00B901A9">
            <w:pPr>
              <w:autoSpaceDE w:val="0"/>
              <w:autoSpaceDN w:val="0"/>
              <w:adjustRightInd w:val="0"/>
              <w:jc w:val="left"/>
              <w:rPr>
                <w:rFonts w:ascii="Book Antiqua" w:hAnsi="Book Antiqua"/>
                <w:szCs w:val="20"/>
              </w:rPr>
            </w:pPr>
          </w:p>
        </w:tc>
        <w:tc>
          <w:tcPr>
            <w:tcW w:w="1843" w:type="dxa"/>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Ties</w:t>
            </w:r>
          </w:p>
        </w:tc>
        <w:tc>
          <w:tcPr>
            <w:tcW w:w="70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0</w:t>
            </w:r>
            <w:r w:rsidRPr="00C1168B">
              <w:rPr>
                <w:rFonts w:ascii="Book Antiqua" w:hAnsi="Book Antiqua"/>
                <w:szCs w:val="20"/>
                <w:vertAlign w:val="superscript"/>
              </w:rPr>
              <w:t>i</w:t>
            </w:r>
          </w:p>
        </w:tc>
        <w:tc>
          <w:tcPr>
            <w:tcW w:w="1418"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c>
          <w:tcPr>
            <w:tcW w:w="1417"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r>
      <w:tr w:rsidR="00C373BA" w:rsidTr="00B901A9">
        <w:trPr>
          <w:cantSplit/>
          <w:trHeight w:val="145"/>
        </w:trPr>
        <w:tc>
          <w:tcPr>
            <w:tcW w:w="2552" w:type="dxa"/>
            <w:vMerge/>
            <w:shd w:val="clear" w:color="auto" w:fill="auto"/>
          </w:tcPr>
          <w:p w:rsidR="00C1168B" w:rsidRPr="00C1168B" w:rsidRDefault="00C1168B" w:rsidP="00B901A9">
            <w:pPr>
              <w:autoSpaceDE w:val="0"/>
              <w:autoSpaceDN w:val="0"/>
              <w:adjustRightInd w:val="0"/>
              <w:jc w:val="left"/>
              <w:rPr>
                <w:rFonts w:ascii="Book Antiqua" w:hAnsi="Book Antiqua"/>
                <w:szCs w:val="20"/>
              </w:rPr>
            </w:pPr>
          </w:p>
        </w:tc>
        <w:tc>
          <w:tcPr>
            <w:tcW w:w="1843" w:type="dxa"/>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Total</w:t>
            </w:r>
          </w:p>
        </w:tc>
        <w:tc>
          <w:tcPr>
            <w:tcW w:w="70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214</w:t>
            </w:r>
          </w:p>
        </w:tc>
        <w:tc>
          <w:tcPr>
            <w:tcW w:w="1418"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c>
          <w:tcPr>
            <w:tcW w:w="1417"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r>
      <w:tr w:rsidR="00C373BA" w:rsidTr="00B901A9">
        <w:trPr>
          <w:cantSplit/>
          <w:trHeight w:val="145"/>
        </w:trPr>
        <w:tc>
          <w:tcPr>
            <w:tcW w:w="2552" w:type="dxa"/>
            <w:vMerge w:val="restart"/>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RTO_</w:t>
            </w:r>
            <w:r w:rsidRPr="00C1168B">
              <w:rPr>
                <w:rFonts w:ascii="Book Antiqua" w:hAnsi="Book Antiqua"/>
                <w:szCs w:val="20"/>
                <w:lang w:val="id-ID"/>
              </w:rPr>
              <w:t>during</w:t>
            </w:r>
            <w:r w:rsidRPr="00C1168B">
              <w:rPr>
                <w:rFonts w:ascii="Book Antiqua" w:hAnsi="Book Antiqua"/>
                <w:szCs w:val="20"/>
              </w:rPr>
              <w:t xml:space="preserve"> </w:t>
            </w:r>
            <w:r w:rsidR="0090289B">
              <w:rPr>
                <w:rFonts w:ascii="Book Antiqua" w:hAnsi="Book Antiqua"/>
                <w:szCs w:val="20"/>
              </w:rPr>
              <w:t>COVID</w:t>
            </w:r>
            <w:r w:rsidR="0090289B">
              <w:rPr>
                <w:rFonts w:ascii="Book Antiqua" w:hAnsi="Book Antiqua"/>
                <w:szCs w:val="20"/>
                <w:lang w:val="id-ID"/>
              </w:rPr>
              <w:t>-</w:t>
            </w:r>
            <w:r w:rsidR="0090289B" w:rsidRPr="00C1168B">
              <w:rPr>
                <w:rFonts w:ascii="Book Antiqua" w:hAnsi="Book Antiqua"/>
                <w:szCs w:val="20"/>
              </w:rPr>
              <w:t xml:space="preserve">19 </w:t>
            </w:r>
            <w:r w:rsidRPr="00C1168B">
              <w:rPr>
                <w:rFonts w:ascii="Book Antiqua" w:hAnsi="Book Antiqua"/>
                <w:szCs w:val="20"/>
              </w:rPr>
              <w:t>- RTO_</w:t>
            </w:r>
            <w:r w:rsidRPr="00C1168B">
              <w:rPr>
                <w:rFonts w:ascii="Book Antiqua" w:hAnsi="Book Antiqua"/>
                <w:szCs w:val="20"/>
                <w:lang w:val="id-ID"/>
              </w:rPr>
              <w:t>before</w:t>
            </w:r>
            <w:r w:rsidRPr="00C1168B">
              <w:rPr>
                <w:rFonts w:ascii="Book Antiqua" w:hAnsi="Book Antiqua"/>
                <w:szCs w:val="20"/>
              </w:rPr>
              <w:t xml:space="preserve"> </w:t>
            </w:r>
            <w:r w:rsidR="0090289B">
              <w:rPr>
                <w:rFonts w:ascii="Book Antiqua" w:hAnsi="Book Antiqua"/>
                <w:szCs w:val="20"/>
              </w:rPr>
              <w:t>COVID</w:t>
            </w:r>
            <w:r w:rsidR="0090289B">
              <w:rPr>
                <w:rFonts w:ascii="Book Antiqua" w:hAnsi="Book Antiqua"/>
                <w:szCs w:val="20"/>
                <w:lang w:val="id-ID"/>
              </w:rPr>
              <w:t>-</w:t>
            </w:r>
            <w:r w:rsidR="0090289B" w:rsidRPr="00C1168B">
              <w:rPr>
                <w:rFonts w:ascii="Book Antiqua" w:hAnsi="Book Antiqua"/>
                <w:szCs w:val="20"/>
              </w:rPr>
              <w:t>19</w:t>
            </w:r>
          </w:p>
        </w:tc>
        <w:tc>
          <w:tcPr>
            <w:tcW w:w="1843" w:type="dxa"/>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Negative Ranks</w:t>
            </w:r>
          </w:p>
        </w:tc>
        <w:tc>
          <w:tcPr>
            <w:tcW w:w="70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72</w:t>
            </w:r>
            <w:r w:rsidRPr="00C1168B">
              <w:rPr>
                <w:rFonts w:ascii="Book Antiqua" w:hAnsi="Book Antiqua"/>
                <w:szCs w:val="20"/>
                <w:vertAlign w:val="superscript"/>
              </w:rPr>
              <w:t>j</w:t>
            </w:r>
          </w:p>
        </w:tc>
        <w:tc>
          <w:tcPr>
            <w:tcW w:w="141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49.92</w:t>
            </w:r>
          </w:p>
        </w:tc>
        <w:tc>
          <w:tcPr>
            <w:tcW w:w="1417"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3594.24</w:t>
            </w:r>
          </w:p>
        </w:tc>
      </w:tr>
      <w:tr w:rsidR="00C373BA" w:rsidTr="00B901A9">
        <w:trPr>
          <w:cantSplit/>
          <w:trHeight w:val="145"/>
        </w:trPr>
        <w:tc>
          <w:tcPr>
            <w:tcW w:w="2552" w:type="dxa"/>
            <w:vMerge/>
            <w:shd w:val="clear" w:color="auto" w:fill="auto"/>
          </w:tcPr>
          <w:p w:rsidR="00C1168B" w:rsidRPr="00C1168B" w:rsidRDefault="00C1168B" w:rsidP="00B901A9">
            <w:pPr>
              <w:autoSpaceDE w:val="0"/>
              <w:autoSpaceDN w:val="0"/>
              <w:adjustRightInd w:val="0"/>
              <w:jc w:val="left"/>
              <w:rPr>
                <w:rFonts w:ascii="Book Antiqua" w:hAnsi="Book Antiqua"/>
                <w:szCs w:val="20"/>
              </w:rPr>
            </w:pPr>
          </w:p>
        </w:tc>
        <w:tc>
          <w:tcPr>
            <w:tcW w:w="1843" w:type="dxa"/>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Positive Ranks</w:t>
            </w:r>
          </w:p>
        </w:tc>
        <w:tc>
          <w:tcPr>
            <w:tcW w:w="70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140</w:t>
            </w:r>
            <w:r w:rsidRPr="00C1168B">
              <w:rPr>
                <w:rFonts w:ascii="Book Antiqua" w:hAnsi="Book Antiqua"/>
                <w:szCs w:val="20"/>
                <w:vertAlign w:val="superscript"/>
              </w:rPr>
              <w:t>k</w:t>
            </w:r>
          </w:p>
        </w:tc>
        <w:tc>
          <w:tcPr>
            <w:tcW w:w="141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58.02</w:t>
            </w:r>
          </w:p>
        </w:tc>
        <w:tc>
          <w:tcPr>
            <w:tcW w:w="1417"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8112.80</w:t>
            </w:r>
          </w:p>
        </w:tc>
      </w:tr>
      <w:tr w:rsidR="00C373BA" w:rsidTr="00B901A9">
        <w:trPr>
          <w:cantSplit/>
          <w:trHeight w:val="145"/>
        </w:trPr>
        <w:tc>
          <w:tcPr>
            <w:tcW w:w="2552" w:type="dxa"/>
            <w:vMerge/>
            <w:shd w:val="clear" w:color="auto" w:fill="auto"/>
          </w:tcPr>
          <w:p w:rsidR="00C1168B" w:rsidRPr="00C1168B" w:rsidRDefault="00C1168B" w:rsidP="00B901A9">
            <w:pPr>
              <w:autoSpaceDE w:val="0"/>
              <w:autoSpaceDN w:val="0"/>
              <w:adjustRightInd w:val="0"/>
              <w:jc w:val="left"/>
              <w:rPr>
                <w:rFonts w:ascii="Book Antiqua" w:hAnsi="Book Antiqua"/>
                <w:szCs w:val="20"/>
              </w:rPr>
            </w:pPr>
          </w:p>
        </w:tc>
        <w:tc>
          <w:tcPr>
            <w:tcW w:w="1843" w:type="dxa"/>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Ties</w:t>
            </w:r>
          </w:p>
        </w:tc>
        <w:tc>
          <w:tcPr>
            <w:tcW w:w="70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2</w:t>
            </w:r>
            <w:r w:rsidRPr="00C1168B">
              <w:rPr>
                <w:rFonts w:ascii="Book Antiqua" w:hAnsi="Book Antiqua"/>
                <w:szCs w:val="20"/>
                <w:vertAlign w:val="superscript"/>
              </w:rPr>
              <w:t>l</w:t>
            </w:r>
          </w:p>
        </w:tc>
        <w:tc>
          <w:tcPr>
            <w:tcW w:w="1418"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c>
          <w:tcPr>
            <w:tcW w:w="1417"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r>
      <w:tr w:rsidR="00C373BA" w:rsidTr="00B901A9">
        <w:trPr>
          <w:cantSplit/>
          <w:trHeight w:val="145"/>
        </w:trPr>
        <w:tc>
          <w:tcPr>
            <w:tcW w:w="2552" w:type="dxa"/>
            <w:vMerge/>
            <w:shd w:val="clear" w:color="auto" w:fill="auto"/>
          </w:tcPr>
          <w:p w:rsidR="00C1168B" w:rsidRPr="00C1168B" w:rsidRDefault="00C1168B" w:rsidP="00B901A9">
            <w:pPr>
              <w:autoSpaceDE w:val="0"/>
              <w:autoSpaceDN w:val="0"/>
              <w:adjustRightInd w:val="0"/>
              <w:jc w:val="left"/>
              <w:rPr>
                <w:rFonts w:ascii="Book Antiqua" w:hAnsi="Book Antiqua"/>
                <w:szCs w:val="20"/>
              </w:rPr>
            </w:pPr>
          </w:p>
        </w:tc>
        <w:tc>
          <w:tcPr>
            <w:tcW w:w="1843" w:type="dxa"/>
            <w:shd w:val="clear" w:color="auto" w:fill="auto"/>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Total</w:t>
            </w:r>
          </w:p>
        </w:tc>
        <w:tc>
          <w:tcPr>
            <w:tcW w:w="708" w:type="dxa"/>
            <w:shd w:val="clear" w:color="auto" w:fill="FFFFFF"/>
          </w:tcPr>
          <w:p w:rsidR="00C1168B" w:rsidRPr="00C1168B" w:rsidRDefault="00E90A84" w:rsidP="00B901A9">
            <w:pPr>
              <w:autoSpaceDE w:val="0"/>
              <w:autoSpaceDN w:val="0"/>
              <w:adjustRightInd w:val="0"/>
              <w:ind w:left="60" w:right="60"/>
              <w:jc w:val="left"/>
              <w:rPr>
                <w:rFonts w:ascii="Book Antiqua" w:hAnsi="Book Antiqua"/>
                <w:szCs w:val="20"/>
              </w:rPr>
            </w:pPr>
            <w:r w:rsidRPr="00C1168B">
              <w:rPr>
                <w:rFonts w:ascii="Book Antiqua" w:hAnsi="Book Antiqua"/>
                <w:szCs w:val="20"/>
              </w:rPr>
              <w:t>214</w:t>
            </w:r>
          </w:p>
        </w:tc>
        <w:tc>
          <w:tcPr>
            <w:tcW w:w="1418"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c>
          <w:tcPr>
            <w:tcW w:w="1417" w:type="dxa"/>
            <w:shd w:val="clear" w:color="auto" w:fill="FFFFFF"/>
            <w:vAlign w:val="center"/>
          </w:tcPr>
          <w:p w:rsidR="00C1168B" w:rsidRPr="00C1168B" w:rsidRDefault="00C1168B" w:rsidP="00B901A9">
            <w:pPr>
              <w:autoSpaceDE w:val="0"/>
              <w:autoSpaceDN w:val="0"/>
              <w:adjustRightInd w:val="0"/>
              <w:jc w:val="left"/>
              <w:rPr>
                <w:rFonts w:ascii="Book Antiqua" w:hAnsi="Book Antiqua"/>
                <w:szCs w:val="20"/>
              </w:rPr>
            </w:pPr>
          </w:p>
        </w:tc>
      </w:tr>
    </w:tbl>
    <w:p w:rsidR="003419A2" w:rsidRDefault="003419A2" w:rsidP="003419A2">
      <w:pPr>
        <w:pStyle w:val="Ventura-Content"/>
        <w:ind w:firstLine="0"/>
        <w:rPr>
          <w:color w:val="000000"/>
          <w:szCs w:val="20"/>
          <w:lang w:val="id-ID"/>
        </w:rPr>
      </w:pPr>
    </w:p>
    <w:p w:rsidR="003419A2" w:rsidRDefault="00E90A84" w:rsidP="0090289B">
      <w:pPr>
        <w:pStyle w:val="Ventura-Content"/>
        <w:ind w:firstLine="709"/>
        <w:rPr>
          <w:color w:val="000000"/>
          <w:szCs w:val="20"/>
          <w:lang w:val="id-ID"/>
        </w:rPr>
      </w:pPr>
      <w:r w:rsidRPr="00256EEC">
        <w:rPr>
          <w:color w:val="000000"/>
          <w:szCs w:val="20"/>
        </w:rPr>
        <w:t>The</w:t>
      </w:r>
      <w:r w:rsidR="00C1168B">
        <w:rPr>
          <w:color w:val="000000"/>
          <w:szCs w:val="20"/>
        </w:rPr>
        <w:t xml:space="preserve"> results of the Wilcoxon signed</w:t>
      </w:r>
      <w:r w:rsidR="00C1168B">
        <w:rPr>
          <w:color w:val="000000"/>
          <w:szCs w:val="20"/>
          <w:lang w:val="id-ID"/>
        </w:rPr>
        <w:t>-</w:t>
      </w:r>
      <w:r w:rsidRPr="00256EEC">
        <w:rPr>
          <w:color w:val="000000"/>
          <w:szCs w:val="20"/>
        </w:rPr>
        <w:t>rank test in Table 6 show that there is a significant difference in the values of ROA and receivable turnover between before and during the COVID 19 pandemic, which can be seen from the Asymp. Sig. (2-tailed) values of 0.03 and</w:t>
      </w:r>
      <w:r>
        <w:rPr>
          <w:color w:val="000000"/>
          <w:szCs w:val="20"/>
        </w:rPr>
        <w:t xml:space="preserve"> 0.00 &lt;0.05. </w:t>
      </w:r>
      <w:r>
        <w:rPr>
          <w:color w:val="000000"/>
          <w:szCs w:val="20"/>
          <w:lang w:val="id-ID"/>
        </w:rPr>
        <w:t>For</w:t>
      </w:r>
      <w:r w:rsidRPr="00256EEC">
        <w:rPr>
          <w:color w:val="000000"/>
          <w:szCs w:val="20"/>
        </w:rPr>
        <w:t xml:space="preserve"> the current ratio and DER, there is no significant difference between before a</w:t>
      </w:r>
      <w:r>
        <w:rPr>
          <w:color w:val="000000"/>
          <w:szCs w:val="20"/>
        </w:rPr>
        <w:t>nd during the COVID 19 pandemic</w:t>
      </w:r>
      <w:r w:rsidRPr="00256EEC">
        <w:rPr>
          <w:color w:val="000000"/>
          <w:szCs w:val="20"/>
        </w:rPr>
        <w:t xml:space="preserve">, which can be seen from the Asymp. Sig. (2-tailed) values of 0.19 and 0.72 &gt; 0.05. It can be concluded that H1 and H2 are rejected, while H3 and H4 are accepted. </w:t>
      </w:r>
    </w:p>
    <w:p w:rsidR="00433E9A" w:rsidRPr="00433E9A" w:rsidRDefault="00433E9A" w:rsidP="0090289B">
      <w:pPr>
        <w:pStyle w:val="Ventura-Content"/>
        <w:ind w:firstLine="709"/>
        <w:rPr>
          <w:color w:val="000000"/>
          <w:szCs w:val="20"/>
          <w:lang w:val="id-ID"/>
        </w:rPr>
      </w:pPr>
    </w:p>
    <w:p w:rsidR="0090289B" w:rsidRPr="0090289B" w:rsidRDefault="00E90A84" w:rsidP="00433E9A">
      <w:pPr>
        <w:pStyle w:val="Ventura-Content"/>
        <w:ind w:firstLine="0"/>
        <w:jc w:val="center"/>
        <w:rPr>
          <w:color w:val="000000"/>
          <w:szCs w:val="20"/>
          <w:lang w:val="id-ID"/>
        </w:rPr>
      </w:pPr>
      <w:r>
        <w:rPr>
          <w:color w:val="000000"/>
          <w:szCs w:val="20"/>
          <w:lang w:val="id-ID"/>
        </w:rPr>
        <w:t>Table 6. Wilcoxon Signed-Rank test results</w:t>
      </w:r>
    </w:p>
    <w:tbl>
      <w:tblPr>
        <w:tblStyle w:val="TableGrid"/>
        <w:tblW w:w="0" w:type="auto"/>
        <w:tblInd w:w="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800"/>
        <w:gridCol w:w="1890"/>
        <w:gridCol w:w="1980"/>
        <w:gridCol w:w="1710"/>
      </w:tblGrid>
      <w:tr w:rsidR="00C373BA" w:rsidTr="00B901A9">
        <w:tc>
          <w:tcPr>
            <w:tcW w:w="1413" w:type="dxa"/>
            <w:tcBorders>
              <w:top w:val="single" w:sz="4" w:space="0" w:color="auto"/>
              <w:bottom w:val="single" w:sz="4" w:space="0" w:color="auto"/>
            </w:tcBorders>
          </w:tcPr>
          <w:p w:rsidR="00433E9A" w:rsidRDefault="00433E9A" w:rsidP="003419A2">
            <w:pPr>
              <w:pStyle w:val="Ventura-Content"/>
              <w:ind w:firstLine="0"/>
              <w:rPr>
                <w:color w:val="000000"/>
                <w:szCs w:val="20"/>
                <w:lang w:val="id-ID"/>
              </w:rPr>
            </w:pPr>
          </w:p>
        </w:tc>
        <w:tc>
          <w:tcPr>
            <w:tcW w:w="1800" w:type="dxa"/>
            <w:tcBorders>
              <w:top w:val="single" w:sz="4" w:space="0" w:color="auto"/>
              <w:bottom w:val="single" w:sz="4" w:space="0" w:color="auto"/>
            </w:tcBorders>
          </w:tcPr>
          <w:p w:rsidR="00433E9A" w:rsidRDefault="00E90A84" w:rsidP="00B901A9">
            <w:pPr>
              <w:pStyle w:val="Ventura-Content"/>
              <w:ind w:firstLine="0"/>
              <w:jc w:val="left"/>
              <w:rPr>
                <w:color w:val="000000"/>
                <w:szCs w:val="20"/>
                <w:lang w:val="id-ID"/>
              </w:rPr>
            </w:pPr>
            <w:r>
              <w:rPr>
                <w:color w:val="000000"/>
                <w:szCs w:val="20"/>
                <w:lang w:val="id-ID"/>
              </w:rPr>
              <w:t>CR_during COVID 19 - CR_before</w:t>
            </w:r>
            <w:r w:rsidRPr="00433E9A">
              <w:rPr>
                <w:color w:val="000000"/>
                <w:szCs w:val="20"/>
                <w:lang w:val="id-ID"/>
              </w:rPr>
              <w:t xml:space="preserve"> </w:t>
            </w:r>
            <w:r w:rsidR="008A60C1" w:rsidRPr="00433E9A">
              <w:rPr>
                <w:color w:val="000000"/>
                <w:szCs w:val="20"/>
                <w:lang w:val="id-ID"/>
              </w:rPr>
              <w:t>COVID 19</w:t>
            </w:r>
          </w:p>
        </w:tc>
        <w:tc>
          <w:tcPr>
            <w:tcW w:w="1890" w:type="dxa"/>
            <w:tcBorders>
              <w:top w:val="single" w:sz="4" w:space="0" w:color="auto"/>
              <w:bottom w:val="single" w:sz="4" w:space="0" w:color="auto"/>
            </w:tcBorders>
          </w:tcPr>
          <w:p w:rsidR="00433E9A" w:rsidRDefault="00E90A84" w:rsidP="00B901A9">
            <w:pPr>
              <w:pStyle w:val="Ventura-Content"/>
              <w:ind w:firstLine="0"/>
              <w:jc w:val="left"/>
              <w:rPr>
                <w:color w:val="000000"/>
                <w:szCs w:val="20"/>
                <w:lang w:val="id-ID"/>
              </w:rPr>
            </w:pPr>
            <w:r>
              <w:rPr>
                <w:color w:val="000000"/>
                <w:szCs w:val="20"/>
                <w:lang w:val="id-ID"/>
              </w:rPr>
              <w:t xml:space="preserve">DER_during </w:t>
            </w:r>
            <w:r w:rsidR="008A60C1">
              <w:rPr>
                <w:color w:val="000000"/>
                <w:szCs w:val="20"/>
                <w:lang w:val="id-ID"/>
              </w:rPr>
              <w:t xml:space="preserve">COVID 19 </w:t>
            </w:r>
            <w:r>
              <w:rPr>
                <w:color w:val="000000"/>
                <w:szCs w:val="20"/>
                <w:lang w:val="id-ID"/>
              </w:rPr>
              <w:t>- DER_before</w:t>
            </w:r>
            <w:r w:rsidRPr="00433E9A">
              <w:rPr>
                <w:color w:val="000000"/>
                <w:szCs w:val="20"/>
                <w:lang w:val="id-ID"/>
              </w:rPr>
              <w:t xml:space="preserve"> </w:t>
            </w:r>
            <w:r w:rsidR="008A60C1" w:rsidRPr="00433E9A">
              <w:rPr>
                <w:color w:val="000000"/>
                <w:szCs w:val="20"/>
                <w:lang w:val="id-ID"/>
              </w:rPr>
              <w:t>COVID 19</w:t>
            </w:r>
          </w:p>
        </w:tc>
        <w:tc>
          <w:tcPr>
            <w:tcW w:w="1980" w:type="dxa"/>
            <w:tcBorders>
              <w:top w:val="single" w:sz="4" w:space="0" w:color="auto"/>
              <w:bottom w:val="single" w:sz="4" w:space="0" w:color="auto"/>
            </w:tcBorders>
          </w:tcPr>
          <w:p w:rsidR="00433E9A" w:rsidRDefault="00E90A84" w:rsidP="00B901A9">
            <w:pPr>
              <w:pStyle w:val="Ventura-Content"/>
              <w:ind w:firstLine="0"/>
              <w:jc w:val="left"/>
              <w:rPr>
                <w:color w:val="000000"/>
                <w:szCs w:val="20"/>
                <w:lang w:val="id-ID"/>
              </w:rPr>
            </w:pPr>
            <w:r>
              <w:rPr>
                <w:color w:val="000000"/>
                <w:szCs w:val="20"/>
                <w:lang w:val="id-ID"/>
              </w:rPr>
              <w:t xml:space="preserve">ROA_during </w:t>
            </w:r>
            <w:r w:rsidR="008A60C1">
              <w:rPr>
                <w:color w:val="000000"/>
                <w:szCs w:val="20"/>
                <w:lang w:val="id-ID"/>
              </w:rPr>
              <w:t xml:space="preserve">COVID 19 </w:t>
            </w:r>
            <w:r>
              <w:rPr>
                <w:color w:val="000000"/>
                <w:szCs w:val="20"/>
                <w:lang w:val="id-ID"/>
              </w:rPr>
              <w:t>- ROA_before</w:t>
            </w:r>
            <w:r w:rsidRPr="00433E9A">
              <w:rPr>
                <w:color w:val="000000"/>
                <w:szCs w:val="20"/>
                <w:lang w:val="id-ID"/>
              </w:rPr>
              <w:t xml:space="preserve"> </w:t>
            </w:r>
            <w:r w:rsidR="008A60C1" w:rsidRPr="00433E9A">
              <w:rPr>
                <w:color w:val="000000"/>
                <w:szCs w:val="20"/>
                <w:lang w:val="id-ID"/>
              </w:rPr>
              <w:t>COVID 19</w:t>
            </w:r>
          </w:p>
        </w:tc>
        <w:tc>
          <w:tcPr>
            <w:tcW w:w="1710" w:type="dxa"/>
            <w:tcBorders>
              <w:top w:val="single" w:sz="4" w:space="0" w:color="auto"/>
              <w:bottom w:val="single" w:sz="4" w:space="0" w:color="auto"/>
            </w:tcBorders>
          </w:tcPr>
          <w:p w:rsidR="00433E9A" w:rsidRDefault="00E90A84" w:rsidP="00B901A9">
            <w:pPr>
              <w:pStyle w:val="Ventura-Content"/>
              <w:ind w:firstLine="0"/>
              <w:jc w:val="left"/>
              <w:rPr>
                <w:color w:val="000000"/>
                <w:szCs w:val="20"/>
                <w:lang w:val="id-ID"/>
              </w:rPr>
            </w:pPr>
            <w:r>
              <w:rPr>
                <w:color w:val="000000"/>
                <w:szCs w:val="20"/>
                <w:lang w:val="id-ID"/>
              </w:rPr>
              <w:t xml:space="preserve">RTO_during </w:t>
            </w:r>
            <w:r w:rsidR="008A60C1">
              <w:rPr>
                <w:color w:val="000000"/>
                <w:szCs w:val="20"/>
                <w:lang w:val="id-ID"/>
              </w:rPr>
              <w:t xml:space="preserve">COVID 19 </w:t>
            </w:r>
            <w:r>
              <w:rPr>
                <w:color w:val="000000"/>
                <w:szCs w:val="20"/>
                <w:lang w:val="id-ID"/>
              </w:rPr>
              <w:t>- RTO_before</w:t>
            </w:r>
            <w:r w:rsidRPr="00433E9A">
              <w:rPr>
                <w:color w:val="000000"/>
                <w:szCs w:val="20"/>
                <w:lang w:val="id-ID"/>
              </w:rPr>
              <w:t xml:space="preserve"> </w:t>
            </w:r>
            <w:r w:rsidR="008A60C1" w:rsidRPr="00433E9A">
              <w:rPr>
                <w:color w:val="000000"/>
                <w:szCs w:val="20"/>
                <w:lang w:val="id-ID"/>
              </w:rPr>
              <w:t>COVID 19</w:t>
            </w:r>
          </w:p>
        </w:tc>
      </w:tr>
      <w:tr w:rsidR="00C373BA" w:rsidTr="00B901A9">
        <w:tc>
          <w:tcPr>
            <w:tcW w:w="1413" w:type="dxa"/>
            <w:tcBorders>
              <w:top w:val="single" w:sz="4" w:space="0" w:color="auto"/>
            </w:tcBorders>
          </w:tcPr>
          <w:p w:rsidR="00433E9A" w:rsidRPr="001001B7" w:rsidRDefault="00E90A84" w:rsidP="00817816">
            <w:r w:rsidRPr="001001B7">
              <w:t>Z</w:t>
            </w:r>
          </w:p>
        </w:tc>
        <w:tc>
          <w:tcPr>
            <w:tcW w:w="1800" w:type="dxa"/>
            <w:tcBorders>
              <w:top w:val="single" w:sz="4" w:space="0" w:color="auto"/>
            </w:tcBorders>
          </w:tcPr>
          <w:p w:rsidR="00433E9A" w:rsidRPr="001001B7" w:rsidRDefault="00E90A84" w:rsidP="00B901A9">
            <w:pPr>
              <w:jc w:val="left"/>
            </w:pPr>
            <w:r w:rsidRPr="001001B7">
              <w:t>-1.29b</w:t>
            </w:r>
          </w:p>
        </w:tc>
        <w:tc>
          <w:tcPr>
            <w:tcW w:w="1890" w:type="dxa"/>
            <w:tcBorders>
              <w:top w:val="single" w:sz="4" w:space="0" w:color="auto"/>
            </w:tcBorders>
          </w:tcPr>
          <w:p w:rsidR="00433E9A" w:rsidRPr="001001B7" w:rsidRDefault="00E90A84" w:rsidP="00B901A9">
            <w:pPr>
              <w:jc w:val="left"/>
            </w:pPr>
            <w:r w:rsidRPr="001001B7">
              <w:t>-0.35c</w:t>
            </w:r>
          </w:p>
        </w:tc>
        <w:tc>
          <w:tcPr>
            <w:tcW w:w="1980" w:type="dxa"/>
            <w:tcBorders>
              <w:top w:val="single" w:sz="4" w:space="0" w:color="auto"/>
            </w:tcBorders>
          </w:tcPr>
          <w:p w:rsidR="00433E9A" w:rsidRPr="001001B7" w:rsidRDefault="00E90A84" w:rsidP="00B901A9">
            <w:pPr>
              <w:jc w:val="left"/>
            </w:pPr>
            <w:r w:rsidRPr="001001B7">
              <w:t>-1.69b</w:t>
            </w:r>
          </w:p>
        </w:tc>
        <w:tc>
          <w:tcPr>
            <w:tcW w:w="1710" w:type="dxa"/>
            <w:tcBorders>
              <w:top w:val="single" w:sz="4" w:space="0" w:color="auto"/>
            </w:tcBorders>
          </w:tcPr>
          <w:p w:rsidR="00433E9A" w:rsidRDefault="00E90A84" w:rsidP="00B901A9">
            <w:pPr>
              <w:jc w:val="left"/>
            </w:pPr>
            <w:r w:rsidRPr="001001B7">
              <w:t>-5.81c</w:t>
            </w:r>
          </w:p>
        </w:tc>
      </w:tr>
      <w:tr w:rsidR="00C373BA" w:rsidTr="00B901A9">
        <w:tc>
          <w:tcPr>
            <w:tcW w:w="1413" w:type="dxa"/>
          </w:tcPr>
          <w:p w:rsidR="00433E9A" w:rsidRPr="005C5351" w:rsidRDefault="00E90A84" w:rsidP="00D943B3">
            <w:pPr>
              <w:jc w:val="left"/>
            </w:pPr>
            <w:r w:rsidRPr="005C5351">
              <w:t>Asymp. Sig. (2-tailed)</w:t>
            </w:r>
          </w:p>
        </w:tc>
        <w:tc>
          <w:tcPr>
            <w:tcW w:w="1800" w:type="dxa"/>
          </w:tcPr>
          <w:p w:rsidR="00433E9A" w:rsidRPr="005C5351" w:rsidRDefault="00E90A84" w:rsidP="00B901A9">
            <w:pPr>
              <w:jc w:val="left"/>
            </w:pPr>
            <w:r w:rsidRPr="005C5351">
              <w:t>0.19</w:t>
            </w:r>
          </w:p>
        </w:tc>
        <w:tc>
          <w:tcPr>
            <w:tcW w:w="1890" w:type="dxa"/>
          </w:tcPr>
          <w:p w:rsidR="00433E9A" w:rsidRPr="005C5351" w:rsidRDefault="00E90A84" w:rsidP="00B901A9">
            <w:pPr>
              <w:jc w:val="left"/>
            </w:pPr>
            <w:r w:rsidRPr="005C5351">
              <w:t>0.72</w:t>
            </w:r>
          </w:p>
        </w:tc>
        <w:tc>
          <w:tcPr>
            <w:tcW w:w="1980" w:type="dxa"/>
          </w:tcPr>
          <w:p w:rsidR="00433E9A" w:rsidRPr="005C5351" w:rsidRDefault="00E90A84" w:rsidP="00B901A9">
            <w:pPr>
              <w:jc w:val="left"/>
            </w:pPr>
            <w:r w:rsidRPr="005C5351">
              <w:t>0.03</w:t>
            </w:r>
          </w:p>
        </w:tc>
        <w:tc>
          <w:tcPr>
            <w:tcW w:w="1710" w:type="dxa"/>
          </w:tcPr>
          <w:p w:rsidR="00433E9A" w:rsidRDefault="00E90A84" w:rsidP="00B901A9">
            <w:pPr>
              <w:jc w:val="left"/>
            </w:pPr>
            <w:r w:rsidRPr="005C5351">
              <w:t>0.00</w:t>
            </w:r>
          </w:p>
        </w:tc>
      </w:tr>
    </w:tbl>
    <w:p w:rsidR="00433E9A" w:rsidRDefault="00433E9A" w:rsidP="003419A2">
      <w:pPr>
        <w:pStyle w:val="Ventura-Content"/>
        <w:ind w:firstLine="0"/>
        <w:rPr>
          <w:color w:val="000000"/>
          <w:szCs w:val="20"/>
          <w:lang w:val="id-ID"/>
        </w:rPr>
      </w:pPr>
    </w:p>
    <w:p w:rsidR="00B901A9" w:rsidRPr="00B901A9" w:rsidRDefault="00E90A84" w:rsidP="00B901A9">
      <w:pPr>
        <w:pStyle w:val="Ventura-Content"/>
        <w:ind w:left="426" w:hanging="426"/>
        <w:rPr>
          <w:b/>
          <w:i/>
          <w:color w:val="000000"/>
          <w:szCs w:val="20"/>
          <w:lang w:val="id-ID"/>
        </w:rPr>
      </w:pPr>
      <w:r w:rsidRPr="00B901A9">
        <w:rPr>
          <w:b/>
          <w:i/>
          <w:color w:val="000000"/>
          <w:szCs w:val="20"/>
        </w:rPr>
        <w:t>The Impact of COVID</w:t>
      </w:r>
      <w:r w:rsidRPr="00B901A9">
        <w:rPr>
          <w:b/>
          <w:i/>
          <w:color w:val="000000"/>
          <w:szCs w:val="20"/>
          <w:lang w:val="id-ID"/>
        </w:rPr>
        <w:t>-</w:t>
      </w:r>
      <w:r w:rsidRPr="00B901A9">
        <w:rPr>
          <w:b/>
          <w:i/>
          <w:color w:val="000000"/>
          <w:szCs w:val="20"/>
        </w:rPr>
        <w:t xml:space="preserve">19 Pandemic on </w:t>
      </w:r>
      <w:r>
        <w:rPr>
          <w:b/>
          <w:i/>
          <w:color w:val="000000"/>
          <w:szCs w:val="20"/>
        </w:rPr>
        <w:t xml:space="preserve">the </w:t>
      </w:r>
      <w:r w:rsidRPr="00B901A9">
        <w:rPr>
          <w:b/>
          <w:i/>
          <w:color w:val="000000"/>
          <w:szCs w:val="20"/>
        </w:rPr>
        <w:t>Financial Performance</w:t>
      </w:r>
      <w:r>
        <w:rPr>
          <w:b/>
          <w:i/>
          <w:color w:val="000000"/>
          <w:szCs w:val="20"/>
        </w:rPr>
        <w:t xml:space="preserve"> of Industrial Sector</w:t>
      </w:r>
    </w:p>
    <w:p w:rsidR="003419A2" w:rsidRDefault="00E90A84" w:rsidP="003419A2">
      <w:pPr>
        <w:pStyle w:val="Ventura-Content"/>
        <w:ind w:firstLine="0"/>
        <w:rPr>
          <w:color w:val="000000"/>
          <w:szCs w:val="20"/>
          <w:lang w:val="id-ID"/>
        </w:rPr>
      </w:pPr>
      <w:r w:rsidRPr="00256EEC">
        <w:rPr>
          <w:color w:val="000000"/>
          <w:szCs w:val="20"/>
        </w:rPr>
        <w:t>Based on the test results, changes in the average value of the current ratio, DER, ROA, and receivable turnover between before and during the COVID 19 pandemic in each industrial sector can be seen in</w:t>
      </w:r>
      <w:r>
        <w:rPr>
          <w:color w:val="000000"/>
          <w:szCs w:val="20"/>
        </w:rPr>
        <w:t xml:space="preserve"> Tables 7, 8, 9, 10, 11, 12, 13</w:t>
      </w:r>
      <w:r w:rsidRPr="00256EEC">
        <w:rPr>
          <w:color w:val="000000"/>
          <w:szCs w:val="20"/>
        </w:rPr>
        <w:t>, 14 and 15.</w:t>
      </w:r>
    </w:p>
    <w:p w:rsidR="0090289B" w:rsidRDefault="0090289B" w:rsidP="003419A2">
      <w:pPr>
        <w:pStyle w:val="Ventura-Content"/>
        <w:ind w:firstLine="0"/>
        <w:rPr>
          <w:color w:val="000000"/>
          <w:szCs w:val="20"/>
          <w:lang w:val="id-ID"/>
        </w:rPr>
      </w:pPr>
    </w:p>
    <w:p w:rsidR="00D943B3" w:rsidRDefault="00E90A84" w:rsidP="00D943B3">
      <w:pPr>
        <w:pStyle w:val="Ventura-Content"/>
        <w:ind w:firstLine="0"/>
        <w:jc w:val="center"/>
        <w:rPr>
          <w:color w:val="000000"/>
          <w:szCs w:val="20"/>
        </w:rPr>
      </w:pPr>
      <w:r w:rsidRPr="00256EEC">
        <w:rPr>
          <w:color w:val="000000"/>
          <w:szCs w:val="20"/>
        </w:rPr>
        <w:t>Table 7</w:t>
      </w:r>
      <w:r>
        <w:rPr>
          <w:color w:val="000000"/>
          <w:szCs w:val="20"/>
        </w:rPr>
        <w:t xml:space="preserve">. </w:t>
      </w:r>
      <w:r w:rsidRPr="00256EEC">
        <w:rPr>
          <w:color w:val="000000"/>
          <w:szCs w:val="20"/>
        </w:rPr>
        <w:t>Changes in Average Va</w:t>
      </w:r>
      <w:r>
        <w:rPr>
          <w:color w:val="000000"/>
          <w:szCs w:val="20"/>
        </w:rPr>
        <w:t>lue of Current Ratio, DER, ROA,</w:t>
      </w:r>
    </w:p>
    <w:p w:rsidR="003419A2" w:rsidRDefault="00E90A84" w:rsidP="00D943B3">
      <w:pPr>
        <w:pStyle w:val="Ventura-Content"/>
        <w:ind w:firstLine="0"/>
        <w:jc w:val="center"/>
        <w:rPr>
          <w:color w:val="000000"/>
          <w:szCs w:val="20"/>
          <w:lang w:val="id-ID"/>
        </w:rPr>
      </w:pPr>
      <w:r w:rsidRPr="00256EEC">
        <w:rPr>
          <w:color w:val="000000"/>
          <w:szCs w:val="20"/>
        </w:rPr>
        <w:t>and Receiv</w:t>
      </w:r>
      <w:r w:rsidR="00D943B3">
        <w:rPr>
          <w:color w:val="000000"/>
          <w:szCs w:val="20"/>
        </w:rPr>
        <w:t xml:space="preserve">able Turnover </w:t>
      </w:r>
      <w:r w:rsidRPr="00256EEC">
        <w:rPr>
          <w:color w:val="000000"/>
          <w:szCs w:val="20"/>
        </w:rPr>
        <w:t>in the Agricultural Sector</w:t>
      </w:r>
    </w:p>
    <w:tbl>
      <w:tblPr>
        <w:tblW w:w="7371" w:type="dxa"/>
        <w:tblInd w:w="85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68"/>
        <w:gridCol w:w="425"/>
        <w:gridCol w:w="851"/>
        <w:gridCol w:w="1134"/>
        <w:gridCol w:w="1134"/>
        <w:gridCol w:w="1559"/>
      </w:tblGrid>
      <w:tr w:rsidR="00C373BA" w:rsidTr="00D943B3">
        <w:trPr>
          <w:cantSplit/>
        </w:trPr>
        <w:tc>
          <w:tcPr>
            <w:tcW w:w="7371" w:type="dxa"/>
            <w:gridSpan w:val="6"/>
            <w:tcBorders>
              <w:top w:val="single" w:sz="4" w:space="0" w:color="auto"/>
              <w:bottom w:val="nil"/>
            </w:tcBorders>
            <w:shd w:val="clear" w:color="auto" w:fill="FFFFFF"/>
            <w:vAlign w:val="center"/>
          </w:tcPr>
          <w:p w:rsidR="008A60C1" w:rsidRPr="00D943B3" w:rsidRDefault="00E90A84" w:rsidP="00817816">
            <w:pPr>
              <w:autoSpaceDE w:val="0"/>
              <w:autoSpaceDN w:val="0"/>
              <w:adjustRightInd w:val="0"/>
              <w:ind w:left="60" w:right="60"/>
              <w:jc w:val="center"/>
              <w:rPr>
                <w:rFonts w:ascii="Book Antiqua" w:hAnsi="Book Antiqua"/>
                <w:szCs w:val="20"/>
              </w:rPr>
            </w:pPr>
            <w:r w:rsidRPr="00D943B3">
              <w:rPr>
                <w:rFonts w:ascii="Book Antiqua" w:hAnsi="Book Antiqua"/>
                <w:bCs/>
                <w:szCs w:val="20"/>
              </w:rPr>
              <w:t>Descriptive Statistics</w:t>
            </w:r>
          </w:p>
        </w:tc>
      </w:tr>
      <w:tr w:rsidR="00C373BA" w:rsidTr="00D943B3">
        <w:trPr>
          <w:cantSplit/>
        </w:trPr>
        <w:tc>
          <w:tcPr>
            <w:tcW w:w="2268" w:type="dxa"/>
            <w:tcBorders>
              <w:top w:val="nil"/>
              <w:bottom w:val="single" w:sz="4" w:space="0" w:color="auto"/>
            </w:tcBorders>
            <w:shd w:val="clear" w:color="auto" w:fill="FFFFFF"/>
            <w:vAlign w:val="bottom"/>
          </w:tcPr>
          <w:p w:rsidR="008A60C1" w:rsidRPr="00EB7250" w:rsidRDefault="008A60C1" w:rsidP="00817816">
            <w:pPr>
              <w:autoSpaceDE w:val="0"/>
              <w:autoSpaceDN w:val="0"/>
              <w:adjustRightInd w:val="0"/>
              <w:ind w:left="659"/>
              <w:rPr>
                <w:rFonts w:ascii="Book Antiqua" w:hAnsi="Book Antiqua"/>
                <w:szCs w:val="20"/>
              </w:rPr>
            </w:pPr>
          </w:p>
        </w:tc>
        <w:tc>
          <w:tcPr>
            <w:tcW w:w="425" w:type="dxa"/>
            <w:tcBorders>
              <w:top w:val="nil"/>
              <w:bottom w:val="single" w:sz="4" w:space="0" w:color="auto"/>
            </w:tcBorders>
            <w:shd w:val="clear" w:color="auto" w:fill="FFFFFF"/>
            <w:vAlign w:val="center"/>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N</w:t>
            </w:r>
          </w:p>
        </w:tc>
        <w:tc>
          <w:tcPr>
            <w:tcW w:w="851" w:type="dxa"/>
            <w:tcBorders>
              <w:top w:val="nil"/>
              <w:bottom w:val="single" w:sz="4" w:space="0" w:color="auto"/>
            </w:tcBorders>
            <w:shd w:val="clear" w:color="auto" w:fill="FFFFFF"/>
            <w:vAlign w:val="center"/>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Min</w:t>
            </w:r>
          </w:p>
        </w:tc>
        <w:tc>
          <w:tcPr>
            <w:tcW w:w="1134" w:type="dxa"/>
            <w:tcBorders>
              <w:top w:val="nil"/>
              <w:bottom w:val="single" w:sz="4" w:space="0" w:color="auto"/>
            </w:tcBorders>
            <w:shd w:val="clear" w:color="auto" w:fill="FFFFFF"/>
            <w:vAlign w:val="center"/>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Max</w:t>
            </w:r>
          </w:p>
        </w:tc>
        <w:tc>
          <w:tcPr>
            <w:tcW w:w="1134" w:type="dxa"/>
            <w:tcBorders>
              <w:top w:val="nil"/>
              <w:bottom w:val="single" w:sz="4" w:space="0" w:color="auto"/>
            </w:tcBorders>
            <w:shd w:val="clear" w:color="auto" w:fill="FFFFFF"/>
            <w:vAlign w:val="center"/>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Mean</w:t>
            </w:r>
          </w:p>
        </w:tc>
        <w:tc>
          <w:tcPr>
            <w:tcW w:w="1559" w:type="dxa"/>
            <w:tcBorders>
              <w:top w:val="nil"/>
              <w:bottom w:val="single" w:sz="4" w:space="0" w:color="auto"/>
            </w:tcBorders>
            <w:shd w:val="clear" w:color="auto" w:fill="FFFFFF"/>
            <w:vAlign w:val="center"/>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Std. Deviation</w:t>
            </w:r>
          </w:p>
        </w:tc>
      </w:tr>
      <w:tr w:rsidR="00C373BA" w:rsidTr="00D943B3">
        <w:trPr>
          <w:cantSplit/>
        </w:trPr>
        <w:tc>
          <w:tcPr>
            <w:tcW w:w="2268" w:type="dxa"/>
            <w:tcBorders>
              <w:top w:val="single" w:sz="4" w:space="0" w:color="auto"/>
            </w:tcBorders>
            <w:shd w:val="clear" w:color="auto" w:fill="auto"/>
          </w:tcPr>
          <w:p w:rsidR="008A60C1" w:rsidRPr="00B901A9" w:rsidRDefault="00E90A84" w:rsidP="00817816">
            <w:pPr>
              <w:autoSpaceDE w:val="0"/>
              <w:autoSpaceDN w:val="0"/>
              <w:adjustRightInd w:val="0"/>
              <w:ind w:left="60" w:right="60"/>
              <w:rPr>
                <w:rFonts w:ascii="Book Antiqua" w:hAnsi="Book Antiqua"/>
                <w:szCs w:val="20"/>
              </w:rPr>
            </w:pPr>
            <w:r w:rsidRPr="00B901A9">
              <w:rPr>
                <w:rFonts w:ascii="Book Antiqua" w:hAnsi="Book Antiqua"/>
                <w:szCs w:val="20"/>
              </w:rPr>
              <w:t>CR_</w:t>
            </w:r>
            <w:r w:rsidRPr="00B901A9">
              <w:rPr>
                <w:rFonts w:ascii="Book Antiqua" w:hAnsi="Book Antiqua"/>
                <w:szCs w:val="20"/>
                <w:lang w:val="id-ID"/>
              </w:rPr>
              <w:t>before</w:t>
            </w:r>
            <w:r w:rsidRPr="00B901A9">
              <w:rPr>
                <w:rFonts w:ascii="Book Antiqua" w:hAnsi="Book Antiqua"/>
                <w:szCs w:val="20"/>
              </w:rPr>
              <w:t xml:space="preserve"> COVID 19</w:t>
            </w:r>
          </w:p>
        </w:tc>
        <w:tc>
          <w:tcPr>
            <w:tcW w:w="425" w:type="dxa"/>
            <w:tcBorders>
              <w:top w:val="single" w:sz="4" w:space="0" w:color="auto"/>
            </w:tcBorders>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7</w:t>
            </w:r>
          </w:p>
        </w:tc>
        <w:tc>
          <w:tcPr>
            <w:tcW w:w="851" w:type="dxa"/>
            <w:tcBorders>
              <w:top w:val="single" w:sz="4" w:space="0" w:color="auto"/>
            </w:tcBorders>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0.642</w:t>
            </w:r>
          </w:p>
        </w:tc>
        <w:tc>
          <w:tcPr>
            <w:tcW w:w="1134" w:type="dxa"/>
            <w:tcBorders>
              <w:top w:val="single" w:sz="4" w:space="0" w:color="auto"/>
            </w:tcBorders>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2.704</w:t>
            </w:r>
          </w:p>
        </w:tc>
        <w:tc>
          <w:tcPr>
            <w:tcW w:w="1134" w:type="dxa"/>
            <w:tcBorders>
              <w:top w:val="single" w:sz="4" w:space="0" w:color="auto"/>
            </w:tcBorders>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1.440</w:t>
            </w:r>
          </w:p>
        </w:tc>
        <w:tc>
          <w:tcPr>
            <w:tcW w:w="1559" w:type="dxa"/>
            <w:tcBorders>
              <w:top w:val="single" w:sz="4" w:space="0" w:color="auto"/>
            </w:tcBorders>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1.107</w:t>
            </w:r>
          </w:p>
        </w:tc>
      </w:tr>
      <w:tr w:rsidR="00C373BA" w:rsidTr="00D943B3">
        <w:trPr>
          <w:cantSplit/>
        </w:trPr>
        <w:tc>
          <w:tcPr>
            <w:tcW w:w="2268" w:type="dxa"/>
            <w:shd w:val="clear" w:color="auto" w:fill="auto"/>
          </w:tcPr>
          <w:p w:rsidR="008A60C1" w:rsidRPr="00B901A9" w:rsidRDefault="00E90A84" w:rsidP="00817816">
            <w:pPr>
              <w:autoSpaceDE w:val="0"/>
              <w:autoSpaceDN w:val="0"/>
              <w:adjustRightInd w:val="0"/>
              <w:ind w:left="60" w:right="60"/>
              <w:rPr>
                <w:rFonts w:ascii="Book Antiqua" w:hAnsi="Book Antiqua"/>
                <w:szCs w:val="20"/>
              </w:rPr>
            </w:pPr>
            <w:r w:rsidRPr="00B901A9">
              <w:rPr>
                <w:rFonts w:ascii="Book Antiqua" w:hAnsi="Book Antiqua"/>
                <w:szCs w:val="20"/>
              </w:rPr>
              <w:t>CR_</w:t>
            </w:r>
            <w:r w:rsidRPr="00B901A9">
              <w:rPr>
                <w:rFonts w:ascii="Book Antiqua" w:hAnsi="Book Antiqua"/>
                <w:szCs w:val="20"/>
                <w:lang w:val="id-ID"/>
              </w:rPr>
              <w:t>during</w:t>
            </w:r>
            <w:r w:rsidRPr="00B901A9">
              <w:rPr>
                <w:rFonts w:ascii="Book Antiqua" w:hAnsi="Book Antiqua"/>
                <w:szCs w:val="20"/>
              </w:rPr>
              <w:t xml:space="preserve"> COVID 19</w:t>
            </w:r>
          </w:p>
        </w:tc>
        <w:tc>
          <w:tcPr>
            <w:tcW w:w="425"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7</w:t>
            </w:r>
          </w:p>
        </w:tc>
        <w:tc>
          <w:tcPr>
            <w:tcW w:w="851"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0.490</w:t>
            </w:r>
          </w:p>
        </w:tc>
        <w:tc>
          <w:tcPr>
            <w:tcW w:w="1134"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2.286</w:t>
            </w:r>
          </w:p>
        </w:tc>
        <w:tc>
          <w:tcPr>
            <w:tcW w:w="1134"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1.212</w:t>
            </w:r>
          </w:p>
        </w:tc>
        <w:tc>
          <w:tcPr>
            <w:tcW w:w="1559"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0.948</w:t>
            </w:r>
          </w:p>
        </w:tc>
      </w:tr>
      <w:tr w:rsidR="00C373BA" w:rsidTr="00D943B3">
        <w:trPr>
          <w:cantSplit/>
        </w:trPr>
        <w:tc>
          <w:tcPr>
            <w:tcW w:w="2268" w:type="dxa"/>
            <w:shd w:val="clear" w:color="auto" w:fill="auto"/>
          </w:tcPr>
          <w:p w:rsidR="008A60C1" w:rsidRPr="00B901A9" w:rsidRDefault="00E90A84" w:rsidP="00817816">
            <w:pPr>
              <w:autoSpaceDE w:val="0"/>
              <w:autoSpaceDN w:val="0"/>
              <w:adjustRightInd w:val="0"/>
              <w:ind w:left="60" w:right="60"/>
              <w:rPr>
                <w:rFonts w:ascii="Book Antiqua" w:hAnsi="Book Antiqua"/>
                <w:szCs w:val="20"/>
              </w:rPr>
            </w:pPr>
            <w:r w:rsidRPr="00B901A9">
              <w:rPr>
                <w:rFonts w:ascii="Book Antiqua" w:hAnsi="Book Antiqua"/>
                <w:szCs w:val="20"/>
              </w:rPr>
              <w:lastRenderedPageBreak/>
              <w:t>DER_</w:t>
            </w:r>
            <w:r w:rsidRPr="00B901A9">
              <w:rPr>
                <w:rFonts w:ascii="Book Antiqua" w:hAnsi="Book Antiqua"/>
                <w:szCs w:val="20"/>
                <w:lang w:val="id-ID"/>
              </w:rPr>
              <w:t>before</w:t>
            </w:r>
            <w:r w:rsidRPr="00B901A9">
              <w:rPr>
                <w:rFonts w:ascii="Book Antiqua" w:hAnsi="Book Antiqua"/>
                <w:szCs w:val="20"/>
              </w:rPr>
              <w:t xml:space="preserve"> COVID 19</w:t>
            </w:r>
          </w:p>
        </w:tc>
        <w:tc>
          <w:tcPr>
            <w:tcW w:w="425"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7</w:t>
            </w:r>
          </w:p>
        </w:tc>
        <w:tc>
          <w:tcPr>
            <w:tcW w:w="851"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1.077</w:t>
            </w:r>
          </w:p>
        </w:tc>
        <w:tc>
          <w:tcPr>
            <w:tcW w:w="1134"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2.083</w:t>
            </w:r>
          </w:p>
        </w:tc>
        <w:tc>
          <w:tcPr>
            <w:tcW w:w="1134"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1.695</w:t>
            </w:r>
          </w:p>
        </w:tc>
        <w:tc>
          <w:tcPr>
            <w:tcW w:w="1559"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0.541</w:t>
            </w:r>
          </w:p>
        </w:tc>
      </w:tr>
      <w:tr w:rsidR="00C373BA" w:rsidTr="00D943B3">
        <w:trPr>
          <w:cantSplit/>
          <w:trHeight w:val="287"/>
        </w:trPr>
        <w:tc>
          <w:tcPr>
            <w:tcW w:w="2268" w:type="dxa"/>
            <w:shd w:val="clear" w:color="auto" w:fill="auto"/>
          </w:tcPr>
          <w:p w:rsidR="008A60C1" w:rsidRPr="00B901A9" w:rsidRDefault="00E90A84" w:rsidP="00817816">
            <w:pPr>
              <w:autoSpaceDE w:val="0"/>
              <w:autoSpaceDN w:val="0"/>
              <w:adjustRightInd w:val="0"/>
              <w:ind w:left="60" w:right="60"/>
              <w:rPr>
                <w:rFonts w:ascii="Book Antiqua" w:hAnsi="Book Antiqua"/>
                <w:szCs w:val="20"/>
              </w:rPr>
            </w:pPr>
            <w:r w:rsidRPr="00B901A9">
              <w:rPr>
                <w:rFonts w:ascii="Book Antiqua" w:hAnsi="Book Antiqua"/>
                <w:szCs w:val="20"/>
              </w:rPr>
              <w:t>DER_</w:t>
            </w:r>
            <w:r w:rsidRPr="00B901A9">
              <w:rPr>
                <w:rFonts w:ascii="Book Antiqua" w:hAnsi="Book Antiqua"/>
                <w:szCs w:val="20"/>
                <w:lang w:val="id-ID"/>
              </w:rPr>
              <w:t>during</w:t>
            </w:r>
            <w:r w:rsidRPr="00B901A9">
              <w:rPr>
                <w:rFonts w:ascii="Book Antiqua" w:hAnsi="Book Antiqua"/>
                <w:szCs w:val="20"/>
              </w:rPr>
              <w:t xml:space="preserve"> COVID 19</w:t>
            </w:r>
          </w:p>
        </w:tc>
        <w:tc>
          <w:tcPr>
            <w:tcW w:w="425"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7</w:t>
            </w:r>
          </w:p>
        </w:tc>
        <w:tc>
          <w:tcPr>
            <w:tcW w:w="851"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0.855</w:t>
            </w:r>
          </w:p>
        </w:tc>
        <w:tc>
          <w:tcPr>
            <w:tcW w:w="1134"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2.733</w:t>
            </w:r>
          </w:p>
        </w:tc>
        <w:tc>
          <w:tcPr>
            <w:tcW w:w="1134"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1.887</w:t>
            </w:r>
          </w:p>
        </w:tc>
        <w:tc>
          <w:tcPr>
            <w:tcW w:w="1559"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0.953</w:t>
            </w:r>
          </w:p>
        </w:tc>
      </w:tr>
      <w:tr w:rsidR="00C373BA" w:rsidTr="00D943B3">
        <w:trPr>
          <w:cantSplit/>
        </w:trPr>
        <w:tc>
          <w:tcPr>
            <w:tcW w:w="2268" w:type="dxa"/>
            <w:shd w:val="clear" w:color="auto" w:fill="auto"/>
          </w:tcPr>
          <w:p w:rsidR="008A60C1" w:rsidRPr="00B901A9" w:rsidRDefault="00E90A84" w:rsidP="00817816">
            <w:pPr>
              <w:autoSpaceDE w:val="0"/>
              <w:autoSpaceDN w:val="0"/>
              <w:adjustRightInd w:val="0"/>
              <w:ind w:left="60" w:right="60"/>
              <w:rPr>
                <w:rFonts w:ascii="Book Antiqua" w:hAnsi="Book Antiqua"/>
                <w:szCs w:val="20"/>
              </w:rPr>
            </w:pPr>
            <w:r w:rsidRPr="00B901A9">
              <w:rPr>
                <w:rFonts w:ascii="Book Antiqua" w:hAnsi="Book Antiqua"/>
                <w:szCs w:val="20"/>
              </w:rPr>
              <w:t>ROA_</w:t>
            </w:r>
            <w:r w:rsidRPr="00B901A9">
              <w:rPr>
                <w:rFonts w:ascii="Book Antiqua" w:hAnsi="Book Antiqua"/>
                <w:szCs w:val="20"/>
                <w:lang w:val="id-ID"/>
              </w:rPr>
              <w:t>before</w:t>
            </w:r>
            <w:r w:rsidRPr="00B901A9">
              <w:rPr>
                <w:rFonts w:ascii="Book Antiqua" w:hAnsi="Book Antiqua"/>
                <w:szCs w:val="20"/>
              </w:rPr>
              <w:t xml:space="preserve"> COVID 19</w:t>
            </w:r>
          </w:p>
        </w:tc>
        <w:tc>
          <w:tcPr>
            <w:tcW w:w="425"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7</w:t>
            </w:r>
          </w:p>
        </w:tc>
        <w:tc>
          <w:tcPr>
            <w:tcW w:w="851"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-0.016</w:t>
            </w:r>
          </w:p>
        </w:tc>
        <w:tc>
          <w:tcPr>
            <w:tcW w:w="1134"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0.020</w:t>
            </w:r>
          </w:p>
        </w:tc>
        <w:tc>
          <w:tcPr>
            <w:tcW w:w="1134"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0.003</w:t>
            </w:r>
          </w:p>
        </w:tc>
        <w:tc>
          <w:tcPr>
            <w:tcW w:w="1559"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0.018</w:t>
            </w:r>
          </w:p>
        </w:tc>
      </w:tr>
      <w:tr w:rsidR="00C373BA" w:rsidTr="00D943B3">
        <w:trPr>
          <w:cantSplit/>
        </w:trPr>
        <w:tc>
          <w:tcPr>
            <w:tcW w:w="2268" w:type="dxa"/>
            <w:shd w:val="clear" w:color="auto" w:fill="auto"/>
          </w:tcPr>
          <w:p w:rsidR="008A60C1" w:rsidRPr="00B901A9" w:rsidRDefault="00E90A84" w:rsidP="00817816">
            <w:pPr>
              <w:autoSpaceDE w:val="0"/>
              <w:autoSpaceDN w:val="0"/>
              <w:adjustRightInd w:val="0"/>
              <w:ind w:left="60" w:right="60"/>
              <w:rPr>
                <w:rFonts w:ascii="Book Antiqua" w:hAnsi="Book Antiqua"/>
                <w:szCs w:val="20"/>
              </w:rPr>
            </w:pPr>
            <w:r w:rsidRPr="00B901A9">
              <w:rPr>
                <w:rFonts w:ascii="Book Antiqua" w:hAnsi="Book Antiqua"/>
                <w:szCs w:val="20"/>
              </w:rPr>
              <w:t>ROA_</w:t>
            </w:r>
            <w:r w:rsidRPr="00B901A9">
              <w:rPr>
                <w:rFonts w:ascii="Book Antiqua" w:hAnsi="Book Antiqua"/>
                <w:szCs w:val="20"/>
                <w:lang w:val="id-ID"/>
              </w:rPr>
              <w:t>during</w:t>
            </w:r>
            <w:r w:rsidRPr="00B901A9">
              <w:rPr>
                <w:rFonts w:ascii="Book Antiqua" w:hAnsi="Book Antiqua"/>
                <w:szCs w:val="20"/>
              </w:rPr>
              <w:t xml:space="preserve"> COVID 19</w:t>
            </w:r>
          </w:p>
        </w:tc>
        <w:tc>
          <w:tcPr>
            <w:tcW w:w="425"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7</w:t>
            </w:r>
          </w:p>
        </w:tc>
        <w:tc>
          <w:tcPr>
            <w:tcW w:w="851"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-0.028</w:t>
            </w:r>
          </w:p>
        </w:tc>
        <w:tc>
          <w:tcPr>
            <w:tcW w:w="1134"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0.031</w:t>
            </w:r>
          </w:p>
        </w:tc>
        <w:tc>
          <w:tcPr>
            <w:tcW w:w="1134"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0.006</w:t>
            </w:r>
          </w:p>
        </w:tc>
        <w:tc>
          <w:tcPr>
            <w:tcW w:w="1559"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0.030</w:t>
            </w:r>
          </w:p>
        </w:tc>
      </w:tr>
      <w:tr w:rsidR="00C373BA" w:rsidTr="00D943B3">
        <w:trPr>
          <w:cantSplit/>
        </w:trPr>
        <w:tc>
          <w:tcPr>
            <w:tcW w:w="2268" w:type="dxa"/>
            <w:shd w:val="clear" w:color="auto" w:fill="auto"/>
          </w:tcPr>
          <w:p w:rsidR="008A60C1" w:rsidRPr="00B901A9" w:rsidRDefault="00E90A84" w:rsidP="00817816">
            <w:pPr>
              <w:autoSpaceDE w:val="0"/>
              <w:autoSpaceDN w:val="0"/>
              <w:adjustRightInd w:val="0"/>
              <w:ind w:left="60" w:right="60"/>
              <w:rPr>
                <w:rFonts w:ascii="Book Antiqua" w:hAnsi="Book Antiqua"/>
                <w:szCs w:val="20"/>
              </w:rPr>
            </w:pPr>
            <w:r w:rsidRPr="00B901A9">
              <w:rPr>
                <w:rFonts w:ascii="Book Antiqua" w:hAnsi="Book Antiqua"/>
                <w:szCs w:val="20"/>
              </w:rPr>
              <w:t>RTO_</w:t>
            </w:r>
            <w:r w:rsidRPr="00B901A9">
              <w:rPr>
                <w:rFonts w:ascii="Book Antiqua" w:hAnsi="Book Antiqua"/>
                <w:szCs w:val="20"/>
                <w:lang w:val="id-ID"/>
              </w:rPr>
              <w:t>before</w:t>
            </w:r>
            <w:r w:rsidRPr="00B901A9">
              <w:rPr>
                <w:rFonts w:ascii="Book Antiqua" w:hAnsi="Book Antiqua"/>
                <w:szCs w:val="20"/>
              </w:rPr>
              <w:t xml:space="preserve"> COVID 19</w:t>
            </w:r>
          </w:p>
        </w:tc>
        <w:tc>
          <w:tcPr>
            <w:tcW w:w="425"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7</w:t>
            </w:r>
          </w:p>
        </w:tc>
        <w:tc>
          <w:tcPr>
            <w:tcW w:w="851"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3.373</w:t>
            </w:r>
          </w:p>
        </w:tc>
        <w:tc>
          <w:tcPr>
            <w:tcW w:w="1134"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12.400</w:t>
            </w:r>
          </w:p>
        </w:tc>
        <w:tc>
          <w:tcPr>
            <w:tcW w:w="1134"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6.562</w:t>
            </w:r>
          </w:p>
        </w:tc>
        <w:tc>
          <w:tcPr>
            <w:tcW w:w="1559"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5.063</w:t>
            </w:r>
          </w:p>
        </w:tc>
      </w:tr>
      <w:tr w:rsidR="00C373BA" w:rsidTr="00D943B3">
        <w:trPr>
          <w:cantSplit/>
        </w:trPr>
        <w:tc>
          <w:tcPr>
            <w:tcW w:w="2268" w:type="dxa"/>
            <w:shd w:val="clear" w:color="auto" w:fill="auto"/>
          </w:tcPr>
          <w:p w:rsidR="008A60C1" w:rsidRPr="00B901A9" w:rsidRDefault="00E90A84" w:rsidP="00817816">
            <w:pPr>
              <w:autoSpaceDE w:val="0"/>
              <w:autoSpaceDN w:val="0"/>
              <w:adjustRightInd w:val="0"/>
              <w:ind w:left="60" w:right="60"/>
              <w:rPr>
                <w:rFonts w:ascii="Book Antiqua" w:hAnsi="Book Antiqua"/>
                <w:szCs w:val="20"/>
              </w:rPr>
            </w:pPr>
            <w:r w:rsidRPr="00B901A9">
              <w:rPr>
                <w:rFonts w:ascii="Book Antiqua" w:hAnsi="Book Antiqua"/>
                <w:szCs w:val="20"/>
              </w:rPr>
              <w:t>RTO_</w:t>
            </w:r>
            <w:r w:rsidRPr="00B901A9">
              <w:rPr>
                <w:rFonts w:ascii="Book Antiqua" w:hAnsi="Book Antiqua"/>
                <w:szCs w:val="20"/>
                <w:lang w:val="id-ID"/>
              </w:rPr>
              <w:t>during</w:t>
            </w:r>
            <w:r w:rsidRPr="00B901A9">
              <w:rPr>
                <w:rFonts w:ascii="Book Antiqua" w:hAnsi="Book Antiqua"/>
                <w:szCs w:val="20"/>
              </w:rPr>
              <w:t xml:space="preserve"> COVID 19</w:t>
            </w:r>
          </w:p>
        </w:tc>
        <w:tc>
          <w:tcPr>
            <w:tcW w:w="425"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7</w:t>
            </w:r>
          </w:p>
        </w:tc>
        <w:tc>
          <w:tcPr>
            <w:tcW w:w="851"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2.016</w:t>
            </w:r>
          </w:p>
        </w:tc>
        <w:tc>
          <w:tcPr>
            <w:tcW w:w="1134"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20.326</w:t>
            </w:r>
          </w:p>
        </w:tc>
        <w:tc>
          <w:tcPr>
            <w:tcW w:w="1134"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11.156</w:t>
            </w:r>
          </w:p>
        </w:tc>
        <w:tc>
          <w:tcPr>
            <w:tcW w:w="1559" w:type="dxa"/>
            <w:shd w:val="clear" w:color="auto" w:fill="FFFFFF"/>
          </w:tcPr>
          <w:p w:rsidR="008A60C1" w:rsidRPr="00EB7250" w:rsidRDefault="00E90A84" w:rsidP="00B901A9">
            <w:pPr>
              <w:autoSpaceDE w:val="0"/>
              <w:autoSpaceDN w:val="0"/>
              <w:adjustRightInd w:val="0"/>
              <w:ind w:left="60" w:right="60"/>
              <w:jc w:val="left"/>
              <w:rPr>
                <w:rFonts w:ascii="Book Antiqua" w:hAnsi="Book Antiqua"/>
                <w:szCs w:val="20"/>
              </w:rPr>
            </w:pPr>
            <w:r w:rsidRPr="00EB7250">
              <w:rPr>
                <w:rFonts w:ascii="Book Antiqua" w:hAnsi="Book Antiqua"/>
                <w:szCs w:val="20"/>
              </w:rPr>
              <w:t>9.155</w:t>
            </w:r>
          </w:p>
        </w:tc>
      </w:tr>
    </w:tbl>
    <w:p w:rsidR="008A60C1" w:rsidRDefault="008A60C1" w:rsidP="003419A2">
      <w:pPr>
        <w:pStyle w:val="Ventura-Content"/>
        <w:ind w:firstLine="0"/>
        <w:rPr>
          <w:color w:val="000000"/>
          <w:szCs w:val="20"/>
          <w:lang w:val="id-ID"/>
        </w:rPr>
      </w:pPr>
    </w:p>
    <w:p w:rsidR="003419A2" w:rsidRDefault="00E90A84" w:rsidP="008A60C1">
      <w:pPr>
        <w:pStyle w:val="Ventura-Content"/>
        <w:ind w:firstLine="709"/>
        <w:rPr>
          <w:color w:val="000000"/>
          <w:szCs w:val="20"/>
          <w:lang w:val="id-ID"/>
        </w:rPr>
      </w:pPr>
      <w:r w:rsidRPr="00256EEC">
        <w:rPr>
          <w:color w:val="000000"/>
          <w:szCs w:val="20"/>
        </w:rPr>
        <w:t xml:space="preserve">Table 7 </w:t>
      </w:r>
      <w:r w:rsidR="00D943B3">
        <w:rPr>
          <w:color w:val="000000"/>
          <w:szCs w:val="20"/>
        </w:rPr>
        <w:t>shows that the seven</w:t>
      </w:r>
      <w:r w:rsidRPr="00256EEC">
        <w:rPr>
          <w:color w:val="000000"/>
          <w:szCs w:val="20"/>
        </w:rPr>
        <w:t xml:space="preserve"> agricultural sector companies experienced a decrease in the average value of the current ratio, from 1.440 to 1.212, while the average DER value increased from 1.695 to 1.887. The average value of ROA increased from 0.003 to 0.006, and the </w:t>
      </w:r>
      <w:r w:rsidR="008A60C1">
        <w:rPr>
          <w:color w:val="000000"/>
          <w:szCs w:val="20"/>
        </w:rPr>
        <w:t xml:space="preserve">average value of receivable </w:t>
      </w:r>
      <w:r w:rsidR="008A60C1">
        <w:rPr>
          <w:color w:val="000000"/>
          <w:szCs w:val="20"/>
          <w:lang w:val="id-ID"/>
        </w:rPr>
        <w:t>turnover</w:t>
      </w:r>
      <w:r w:rsidRPr="00256EEC">
        <w:rPr>
          <w:color w:val="000000"/>
          <w:szCs w:val="20"/>
        </w:rPr>
        <w:t xml:space="preserve"> also increased, from 6.562 to 11.156.</w:t>
      </w:r>
    </w:p>
    <w:p w:rsidR="003419A2" w:rsidRDefault="003419A2" w:rsidP="003419A2">
      <w:pPr>
        <w:pStyle w:val="Ventura-Content"/>
        <w:ind w:firstLine="0"/>
        <w:rPr>
          <w:color w:val="000000"/>
          <w:szCs w:val="20"/>
          <w:lang w:val="id-ID"/>
        </w:rPr>
      </w:pPr>
    </w:p>
    <w:p w:rsidR="00D943B3" w:rsidRDefault="00E90A84" w:rsidP="00D943B3">
      <w:pPr>
        <w:pStyle w:val="Ventura-Content"/>
        <w:ind w:firstLine="0"/>
        <w:jc w:val="center"/>
        <w:rPr>
          <w:color w:val="000000"/>
          <w:szCs w:val="20"/>
        </w:rPr>
      </w:pPr>
      <w:r w:rsidRPr="00256EEC">
        <w:rPr>
          <w:color w:val="000000"/>
          <w:szCs w:val="20"/>
        </w:rPr>
        <w:t>Table 8</w:t>
      </w:r>
      <w:r>
        <w:rPr>
          <w:color w:val="000000"/>
          <w:szCs w:val="20"/>
        </w:rPr>
        <w:t xml:space="preserve"> </w:t>
      </w:r>
      <w:r w:rsidRPr="00256EEC">
        <w:rPr>
          <w:color w:val="000000"/>
          <w:szCs w:val="20"/>
        </w:rPr>
        <w:t>Changes in Average Value of Current Ratio, DE</w:t>
      </w:r>
      <w:r>
        <w:rPr>
          <w:color w:val="000000"/>
          <w:szCs w:val="20"/>
        </w:rPr>
        <w:t>R, ROA,</w:t>
      </w:r>
    </w:p>
    <w:p w:rsidR="00817816" w:rsidRPr="00817816" w:rsidRDefault="00E90A84" w:rsidP="00D943B3">
      <w:pPr>
        <w:pStyle w:val="Ventura-Content"/>
        <w:ind w:firstLine="0"/>
        <w:jc w:val="center"/>
        <w:rPr>
          <w:color w:val="000000"/>
          <w:szCs w:val="20"/>
          <w:lang w:val="id-ID"/>
        </w:rPr>
      </w:pPr>
      <w:r>
        <w:rPr>
          <w:color w:val="000000"/>
          <w:szCs w:val="20"/>
        </w:rPr>
        <w:t xml:space="preserve">and Receivable Turnover </w:t>
      </w:r>
      <w:r w:rsidR="002A42E0" w:rsidRPr="00256EEC">
        <w:rPr>
          <w:color w:val="000000"/>
          <w:szCs w:val="20"/>
        </w:rPr>
        <w:t>in the Mining Sector</w:t>
      </w:r>
    </w:p>
    <w:tbl>
      <w:tblPr>
        <w:tblW w:w="667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05"/>
        <w:gridCol w:w="489"/>
        <w:gridCol w:w="758"/>
        <w:gridCol w:w="792"/>
        <w:gridCol w:w="755"/>
        <w:gridCol w:w="1480"/>
      </w:tblGrid>
      <w:tr w:rsidR="00C373BA" w:rsidTr="00D943B3">
        <w:trPr>
          <w:cantSplit/>
          <w:jc w:val="center"/>
        </w:trPr>
        <w:tc>
          <w:tcPr>
            <w:tcW w:w="6679" w:type="dxa"/>
            <w:gridSpan w:val="6"/>
            <w:tcBorders>
              <w:top w:val="single" w:sz="4" w:space="0" w:color="auto"/>
              <w:bottom w:val="nil"/>
            </w:tcBorders>
            <w:shd w:val="clear" w:color="auto" w:fill="FFFFFF"/>
            <w:vAlign w:val="center"/>
          </w:tcPr>
          <w:p w:rsidR="00817816" w:rsidRPr="00D943B3" w:rsidRDefault="00E90A84" w:rsidP="00817816">
            <w:pPr>
              <w:widowControl/>
              <w:autoSpaceDE w:val="0"/>
              <w:autoSpaceDN w:val="0"/>
              <w:adjustRightInd w:val="0"/>
              <w:ind w:left="60" w:right="60"/>
              <w:jc w:val="center"/>
              <w:rPr>
                <w:rFonts w:ascii="Book Antiqua" w:eastAsia="Calibri" w:hAnsi="Book Antiqua"/>
                <w:szCs w:val="20"/>
              </w:rPr>
            </w:pPr>
            <w:r w:rsidRPr="00D943B3">
              <w:rPr>
                <w:rFonts w:ascii="Book Antiqua" w:eastAsia="Calibri" w:hAnsi="Book Antiqua"/>
                <w:bCs/>
                <w:szCs w:val="20"/>
              </w:rPr>
              <w:t>Descriptive Statistics</w:t>
            </w:r>
          </w:p>
        </w:tc>
      </w:tr>
      <w:tr w:rsidR="00C373BA" w:rsidTr="00D943B3">
        <w:trPr>
          <w:cantSplit/>
          <w:jc w:val="center"/>
        </w:trPr>
        <w:tc>
          <w:tcPr>
            <w:tcW w:w="2405" w:type="dxa"/>
            <w:tcBorders>
              <w:top w:val="nil"/>
              <w:bottom w:val="single" w:sz="4" w:space="0" w:color="auto"/>
            </w:tcBorders>
            <w:shd w:val="clear" w:color="auto" w:fill="FFFFFF"/>
            <w:vAlign w:val="bottom"/>
          </w:tcPr>
          <w:p w:rsidR="00817816" w:rsidRPr="00EB7250" w:rsidRDefault="00817816" w:rsidP="00817816">
            <w:pPr>
              <w:widowControl/>
              <w:autoSpaceDE w:val="0"/>
              <w:autoSpaceDN w:val="0"/>
              <w:adjustRightInd w:val="0"/>
              <w:rPr>
                <w:rFonts w:ascii="Book Antiqua" w:eastAsia="Calibri" w:hAnsi="Book Antiqua"/>
                <w:szCs w:val="20"/>
              </w:rPr>
            </w:pPr>
          </w:p>
        </w:tc>
        <w:tc>
          <w:tcPr>
            <w:tcW w:w="489" w:type="dxa"/>
            <w:tcBorders>
              <w:top w:val="nil"/>
              <w:bottom w:val="single" w:sz="4" w:space="0" w:color="auto"/>
            </w:tcBorders>
            <w:shd w:val="clear" w:color="auto" w:fill="FFFFFF"/>
            <w:vAlign w:val="bottom"/>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N</w:t>
            </w:r>
          </w:p>
        </w:tc>
        <w:tc>
          <w:tcPr>
            <w:tcW w:w="758" w:type="dxa"/>
            <w:tcBorders>
              <w:top w:val="nil"/>
              <w:bottom w:val="single" w:sz="4" w:space="0" w:color="auto"/>
            </w:tcBorders>
            <w:shd w:val="clear" w:color="auto" w:fill="FFFFFF"/>
            <w:vAlign w:val="bottom"/>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Min</w:t>
            </w:r>
          </w:p>
        </w:tc>
        <w:tc>
          <w:tcPr>
            <w:tcW w:w="792" w:type="dxa"/>
            <w:tcBorders>
              <w:top w:val="nil"/>
              <w:bottom w:val="single" w:sz="4" w:space="0" w:color="auto"/>
            </w:tcBorders>
            <w:shd w:val="clear" w:color="auto" w:fill="FFFFFF"/>
            <w:vAlign w:val="bottom"/>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Max</w:t>
            </w:r>
          </w:p>
        </w:tc>
        <w:tc>
          <w:tcPr>
            <w:tcW w:w="755" w:type="dxa"/>
            <w:tcBorders>
              <w:top w:val="nil"/>
              <w:bottom w:val="single" w:sz="4" w:space="0" w:color="auto"/>
            </w:tcBorders>
            <w:shd w:val="clear" w:color="auto" w:fill="FFFFFF"/>
            <w:vAlign w:val="bottom"/>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Mean</w:t>
            </w:r>
          </w:p>
        </w:tc>
        <w:tc>
          <w:tcPr>
            <w:tcW w:w="1480" w:type="dxa"/>
            <w:tcBorders>
              <w:top w:val="nil"/>
              <w:bottom w:val="single" w:sz="4" w:space="0" w:color="auto"/>
            </w:tcBorders>
            <w:shd w:val="clear" w:color="auto" w:fill="FFFFFF"/>
            <w:vAlign w:val="bottom"/>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Std. Deviation</w:t>
            </w:r>
          </w:p>
        </w:tc>
      </w:tr>
      <w:tr w:rsidR="00C373BA" w:rsidTr="00D943B3">
        <w:trPr>
          <w:cantSplit/>
          <w:jc w:val="center"/>
        </w:trPr>
        <w:tc>
          <w:tcPr>
            <w:tcW w:w="2405" w:type="dxa"/>
            <w:tcBorders>
              <w:top w:val="single" w:sz="4" w:space="0" w:color="auto"/>
            </w:tcBorders>
            <w:shd w:val="clear" w:color="auto" w:fill="auto"/>
          </w:tcPr>
          <w:p w:rsidR="00817816" w:rsidRPr="00EB7250" w:rsidRDefault="00E90A84" w:rsidP="00817816">
            <w:pPr>
              <w:widowControl/>
              <w:autoSpaceDE w:val="0"/>
              <w:autoSpaceDN w:val="0"/>
              <w:adjustRightInd w:val="0"/>
              <w:ind w:left="60" w:right="60"/>
              <w:rPr>
                <w:rFonts w:ascii="Book Antiqua" w:eastAsia="Calibri" w:hAnsi="Book Antiqua"/>
                <w:szCs w:val="20"/>
              </w:rPr>
            </w:pPr>
            <w:r w:rsidRPr="00EB7250">
              <w:rPr>
                <w:rFonts w:ascii="Book Antiqua" w:eastAsia="Calibri" w:hAnsi="Book Antiqua"/>
                <w:szCs w:val="20"/>
              </w:rPr>
              <w:t>CR_</w:t>
            </w:r>
            <w:r w:rsidRPr="00EB7250">
              <w:rPr>
                <w:rFonts w:ascii="Book Antiqua" w:eastAsia="Calibri" w:hAnsi="Book Antiqua"/>
                <w:szCs w:val="20"/>
                <w:lang w:val="id-ID"/>
              </w:rPr>
              <w:t>before</w:t>
            </w:r>
            <w:r w:rsidRPr="00EB7250">
              <w:rPr>
                <w:rFonts w:ascii="Book Antiqua" w:eastAsia="Calibri" w:hAnsi="Book Antiqua"/>
                <w:szCs w:val="20"/>
              </w:rPr>
              <w:t xml:space="preserve"> COVID 19</w:t>
            </w:r>
          </w:p>
        </w:tc>
        <w:tc>
          <w:tcPr>
            <w:tcW w:w="489" w:type="dxa"/>
            <w:tcBorders>
              <w:top w:val="single" w:sz="4" w:space="0" w:color="auto"/>
            </w:tcBorders>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11</w:t>
            </w:r>
          </w:p>
        </w:tc>
        <w:tc>
          <w:tcPr>
            <w:tcW w:w="758" w:type="dxa"/>
            <w:tcBorders>
              <w:top w:val="single" w:sz="4" w:space="0" w:color="auto"/>
            </w:tcBorders>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0.202</w:t>
            </w:r>
          </w:p>
        </w:tc>
        <w:tc>
          <w:tcPr>
            <w:tcW w:w="792" w:type="dxa"/>
            <w:tcBorders>
              <w:top w:val="single" w:sz="4" w:space="0" w:color="auto"/>
            </w:tcBorders>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9.535</w:t>
            </w:r>
          </w:p>
        </w:tc>
        <w:tc>
          <w:tcPr>
            <w:tcW w:w="755" w:type="dxa"/>
            <w:tcBorders>
              <w:top w:val="single" w:sz="4" w:space="0" w:color="auto"/>
            </w:tcBorders>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1.972</w:t>
            </w:r>
          </w:p>
        </w:tc>
        <w:tc>
          <w:tcPr>
            <w:tcW w:w="1480" w:type="dxa"/>
            <w:tcBorders>
              <w:top w:val="single" w:sz="4" w:space="0" w:color="auto"/>
            </w:tcBorders>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2.973</w:t>
            </w:r>
          </w:p>
        </w:tc>
      </w:tr>
      <w:tr w:rsidR="00C373BA" w:rsidTr="00D943B3">
        <w:trPr>
          <w:cantSplit/>
          <w:jc w:val="center"/>
        </w:trPr>
        <w:tc>
          <w:tcPr>
            <w:tcW w:w="2405" w:type="dxa"/>
            <w:shd w:val="clear" w:color="auto" w:fill="auto"/>
          </w:tcPr>
          <w:p w:rsidR="00817816" w:rsidRPr="00EB7250" w:rsidRDefault="00E90A84" w:rsidP="00817816">
            <w:pPr>
              <w:widowControl/>
              <w:autoSpaceDE w:val="0"/>
              <w:autoSpaceDN w:val="0"/>
              <w:adjustRightInd w:val="0"/>
              <w:ind w:left="60" w:right="60"/>
              <w:rPr>
                <w:rFonts w:ascii="Book Antiqua" w:eastAsia="Calibri" w:hAnsi="Book Antiqua"/>
                <w:szCs w:val="20"/>
              </w:rPr>
            </w:pPr>
            <w:r w:rsidRPr="00EB7250">
              <w:rPr>
                <w:rFonts w:ascii="Book Antiqua" w:eastAsia="Calibri" w:hAnsi="Book Antiqua"/>
                <w:szCs w:val="20"/>
              </w:rPr>
              <w:t>CR_</w:t>
            </w:r>
            <w:r w:rsidRPr="00EB7250">
              <w:rPr>
                <w:rFonts w:ascii="Book Antiqua" w:eastAsia="Calibri" w:hAnsi="Book Antiqua"/>
                <w:szCs w:val="20"/>
                <w:lang w:val="id-ID"/>
              </w:rPr>
              <w:t>during</w:t>
            </w:r>
            <w:r w:rsidRPr="00EB7250">
              <w:rPr>
                <w:rFonts w:ascii="Book Antiqua" w:eastAsia="Calibri" w:hAnsi="Book Antiqua"/>
                <w:szCs w:val="20"/>
              </w:rPr>
              <w:t xml:space="preserve"> COVID 19</w:t>
            </w:r>
          </w:p>
        </w:tc>
        <w:tc>
          <w:tcPr>
            <w:tcW w:w="489"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11</w:t>
            </w:r>
          </w:p>
        </w:tc>
        <w:tc>
          <w:tcPr>
            <w:tcW w:w="758"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0.248</w:t>
            </w:r>
          </w:p>
        </w:tc>
        <w:tc>
          <w:tcPr>
            <w:tcW w:w="792"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9.028</w:t>
            </w:r>
          </w:p>
        </w:tc>
        <w:tc>
          <w:tcPr>
            <w:tcW w:w="755"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2.268</w:t>
            </w:r>
          </w:p>
        </w:tc>
        <w:tc>
          <w:tcPr>
            <w:tcW w:w="1480"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2.647</w:t>
            </w:r>
          </w:p>
        </w:tc>
      </w:tr>
      <w:tr w:rsidR="00C373BA" w:rsidTr="00D943B3">
        <w:trPr>
          <w:cantSplit/>
          <w:jc w:val="center"/>
        </w:trPr>
        <w:tc>
          <w:tcPr>
            <w:tcW w:w="2405" w:type="dxa"/>
            <w:shd w:val="clear" w:color="auto" w:fill="auto"/>
          </w:tcPr>
          <w:p w:rsidR="00817816" w:rsidRPr="00EB7250" w:rsidRDefault="00E90A84" w:rsidP="00817816">
            <w:pPr>
              <w:widowControl/>
              <w:autoSpaceDE w:val="0"/>
              <w:autoSpaceDN w:val="0"/>
              <w:adjustRightInd w:val="0"/>
              <w:ind w:left="60" w:right="60"/>
              <w:rPr>
                <w:rFonts w:ascii="Book Antiqua" w:eastAsia="Calibri" w:hAnsi="Book Antiqua"/>
                <w:szCs w:val="20"/>
              </w:rPr>
            </w:pPr>
            <w:r w:rsidRPr="00EB7250">
              <w:rPr>
                <w:rFonts w:ascii="Book Antiqua" w:eastAsia="Calibri" w:hAnsi="Book Antiqua"/>
                <w:szCs w:val="20"/>
              </w:rPr>
              <w:t>DER_</w:t>
            </w:r>
            <w:r w:rsidRPr="00EB7250">
              <w:rPr>
                <w:rFonts w:ascii="Book Antiqua" w:eastAsia="Calibri" w:hAnsi="Book Antiqua"/>
                <w:szCs w:val="20"/>
                <w:lang w:val="id-ID"/>
              </w:rPr>
              <w:t>before</w:t>
            </w:r>
            <w:r w:rsidRPr="00EB7250">
              <w:rPr>
                <w:rFonts w:ascii="Book Antiqua" w:eastAsia="Calibri" w:hAnsi="Book Antiqua"/>
                <w:szCs w:val="20"/>
              </w:rPr>
              <w:t xml:space="preserve"> COVID 19</w:t>
            </w:r>
          </w:p>
        </w:tc>
        <w:tc>
          <w:tcPr>
            <w:tcW w:w="489"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11</w:t>
            </w:r>
          </w:p>
        </w:tc>
        <w:tc>
          <w:tcPr>
            <w:tcW w:w="758"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0.070</w:t>
            </w:r>
          </w:p>
        </w:tc>
        <w:tc>
          <w:tcPr>
            <w:tcW w:w="792"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6.094</w:t>
            </w:r>
          </w:p>
        </w:tc>
        <w:tc>
          <w:tcPr>
            <w:tcW w:w="755"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1.020</w:t>
            </w:r>
          </w:p>
        </w:tc>
        <w:tc>
          <w:tcPr>
            <w:tcW w:w="1480"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2.841</w:t>
            </w:r>
          </w:p>
        </w:tc>
      </w:tr>
      <w:tr w:rsidR="00C373BA" w:rsidTr="00D943B3">
        <w:trPr>
          <w:cantSplit/>
          <w:jc w:val="center"/>
        </w:trPr>
        <w:tc>
          <w:tcPr>
            <w:tcW w:w="2405" w:type="dxa"/>
            <w:shd w:val="clear" w:color="auto" w:fill="auto"/>
          </w:tcPr>
          <w:p w:rsidR="00817816" w:rsidRPr="00EB7250" w:rsidRDefault="00E90A84" w:rsidP="00817816">
            <w:pPr>
              <w:widowControl/>
              <w:autoSpaceDE w:val="0"/>
              <w:autoSpaceDN w:val="0"/>
              <w:adjustRightInd w:val="0"/>
              <w:ind w:left="60" w:right="60"/>
              <w:rPr>
                <w:rFonts w:ascii="Book Antiqua" w:eastAsia="Calibri" w:hAnsi="Book Antiqua"/>
                <w:szCs w:val="20"/>
              </w:rPr>
            </w:pPr>
            <w:r w:rsidRPr="00EB7250">
              <w:rPr>
                <w:rFonts w:ascii="Book Antiqua" w:eastAsia="Calibri" w:hAnsi="Book Antiqua"/>
                <w:szCs w:val="20"/>
              </w:rPr>
              <w:t>DER_</w:t>
            </w:r>
            <w:r w:rsidRPr="00EB7250">
              <w:rPr>
                <w:rFonts w:ascii="Book Antiqua" w:eastAsia="Calibri" w:hAnsi="Book Antiqua"/>
                <w:szCs w:val="20"/>
                <w:lang w:val="id-ID"/>
              </w:rPr>
              <w:t>during</w:t>
            </w:r>
            <w:r w:rsidRPr="00EB7250">
              <w:rPr>
                <w:rFonts w:ascii="Book Antiqua" w:eastAsia="Calibri" w:hAnsi="Book Antiqua"/>
                <w:szCs w:val="20"/>
              </w:rPr>
              <w:t xml:space="preserve"> COVID 19</w:t>
            </w:r>
          </w:p>
        </w:tc>
        <w:tc>
          <w:tcPr>
            <w:tcW w:w="489"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11</w:t>
            </w:r>
          </w:p>
        </w:tc>
        <w:tc>
          <w:tcPr>
            <w:tcW w:w="758"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0.130</w:t>
            </w:r>
          </w:p>
        </w:tc>
        <w:tc>
          <w:tcPr>
            <w:tcW w:w="792"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9.679</w:t>
            </w:r>
          </w:p>
        </w:tc>
        <w:tc>
          <w:tcPr>
            <w:tcW w:w="755"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2.805</w:t>
            </w:r>
          </w:p>
        </w:tc>
        <w:tc>
          <w:tcPr>
            <w:tcW w:w="1480"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4.243</w:t>
            </w:r>
          </w:p>
        </w:tc>
      </w:tr>
      <w:tr w:rsidR="00C373BA" w:rsidTr="00D943B3">
        <w:trPr>
          <w:cantSplit/>
          <w:jc w:val="center"/>
        </w:trPr>
        <w:tc>
          <w:tcPr>
            <w:tcW w:w="2405" w:type="dxa"/>
            <w:shd w:val="clear" w:color="auto" w:fill="auto"/>
          </w:tcPr>
          <w:p w:rsidR="00817816" w:rsidRPr="00EB7250" w:rsidRDefault="00E90A84" w:rsidP="00817816">
            <w:pPr>
              <w:widowControl/>
              <w:autoSpaceDE w:val="0"/>
              <w:autoSpaceDN w:val="0"/>
              <w:adjustRightInd w:val="0"/>
              <w:ind w:left="60" w:right="60"/>
              <w:rPr>
                <w:rFonts w:ascii="Book Antiqua" w:eastAsia="Calibri" w:hAnsi="Book Antiqua"/>
                <w:szCs w:val="20"/>
              </w:rPr>
            </w:pPr>
            <w:r w:rsidRPr="00EB7250">
              <w:rPr>
                <w:rFonts w:ascii="Book Antiqua" w:eastAsia="Calibri" w:hAnsi="Book Antiqua"/>
                <w:szCs w:val="20"/>
              </w:rPr>
              <w:t>ROA_</w:t>
            </w:r>
            <w:r w:rsidRPr="00EB7250">
              <w:rPr>
                <w:rFonts w:ascii="Book Antiqua" w:eastAsia="Calibri" w:hAnsi="Book Antiqua"/>
                <w:szCs w:val="20"/>
                <w:lang w:val="id-ID"/>
              </w:rPr>
              <w:t>before</w:t>
            </w:r>
            <w:r w:rsidRPr="00EB7250">
              <w:rPr>
                <w:rFonts w:ascii="Book Antiqua" w:eastAsia="Calibri" w:hAnsi="Book Antiqua"/>
                <w:szCs w:val="20"/>
              </w:rPr>
              <w:t xml:space="preserve"> COVID 19</w:t>
            </w:r>
          </w:p>
        </w:tc>
        <w:tc>
          <w:tcPr>
            <w:tcW w:w="489"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11</w:t>
            </w:r>
          </w:p>
        </w:tc>
        <w:tc>
          <w:tcPr>
            <w:tcW w:w="758"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-0.018</w:t>
            </w:r>
          </w:p>
        </w:tc>
        <w:tc>
          <w:tcPr>
            <w:tcW w:w="792"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0.097</w:t>
            </w:r>
          </w:p>
        </w:tc>
        <w:tc>
          <w:tcPr>
            <w:tcW w:w="755"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0.029</w:t>
            </w:r>
          </w:p>
        </w:tc>
        <w:tc>
          <w:tcPr>
            <w:tcW w:w="1480"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0.040</w:t>
            </w:r>
          </w:p>
        </w:tc>
      </w:tr>
      <w:tr w:rsidR="00C373BA" w:rsidTr="00D943B3">
        <w:trPr>
          <w:cantSplit/>
          <w:jc w:val="center"/>
        </w:trPr>
        <w:tc>
          <w:tcPr>
            <w:tcW w:w="2405" w:type="dxa"/>
            <w:shd w:val="clear" w:color="auto" w:fill="auto"/>
          </w:tcPr>
          <w:p w:rsidR="00817816" w:rsidRPr="00EB7250" w:rsidRDefault="00E90A84" w:rsidP="00817816">
            <w:pPr>
              <w:widowControl/>
              <w:autoSpaceDE w:val="0"/>
              <w:autoSpaceDN w:val="0"/>
              <w:adjustRightInd w:val="0"/>
              <w:ind w:left="60" w:right="60"/>
              <w:rPr>
                <w:rFonts w:ascii="Book Antiqua" w:eastAsia="Calibri" w:hAnsi="Book Antiqua"/>
                <w:szCs w:val="20"/>
              </w:rPr>
            </w:pPr>
            <w:r w:rsidRPr="00EB7250">
              <w:rPr>
                <w:rFonts w:ascii="Book Antiqua" w:eastAsia="Calibri" w:hAnsi="Book Antiqua"/>
                <w:szCs w:val="20"/>
              </w:rPr>
              <w:t>ROA_</w:t>
            </w:r>
            <w:r w:rsidRPr="00EB7250">
              <w:rPr>
                <w:rFonts w:ascii="Book Antiqua" w:eastAsia="Calibri" w:hAnsi="Book Antiqua"/>
                <w:szCs w:val="20"/>
                <w:lang w:val="id-ID"/>
              </w:rPr>
              <w:t>during</w:t>
            </w:r>
            <w:r w:rsidRPr="00EB7250">
              <w:rPr>
                <w:rFonts w:ascii="Book Antiqua" w:eastAsia="Calibri" w:hAnsi="Book Antiqua"/>
                <w:szCs w:val="20"/>
              </w:rPr>
              <w:t xml:space="preserve"> COVID 19</w:t>
            </w:r>
          </w:p>
        </w:tc>
        <w:tc>
          <w:tcPr>
            <w:tcW w:w="489"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11</w:t>
            </w:r>
          </w:p>
        </w:tc>
        <w:tc>
          <w:tcPr>
            <w:tcW w:w="758"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-0.220</w:t>
            </w:r>
          </w:p>
        </w:tc>
        <w:tc>
          <w:tcPr>
            <w:tcW w:w="792"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0.112</w:t>
            </w:r>
          </w:p>
        </w:tc>
        <w:tc>
          <w:tcPr>
            <w:tcW w:w="755"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-0.008</w:t>
            </w:r>
          </w:p>
        </w:tc>
        <w:tc>
          <w:tcPr>
            <w:tcW w:w="1480"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0.090</w:t>
            </w:r>
          </w:p>
        </w:tc>
      </w:tr>
      <w:tr w:rsidR="00C373BA" w:rsidTr="00D943B3">
        <w:trPr>
          <w:cantSplit/>
          <w:jc w:val="center"/>
        </w:trPr>
        <w:tc>
          <w:tcPr>
            <w:tcW w:w="2405" w:type="dxa"/>
            <w:shd w:val="clear" w:color="auto" w:fill="auto"/>
          </w:tcPr>
          <w:p w:rsidR="00817816" w:rsidRPr="00EB7250" w:rsidRDefault="00E90A84" w:rsidP="00817816">
            <w:pPr>
              <w:widowControl/>
              <w:autoSpaceDE w:val="0"/>
              <w:autoSpaceDN w:val="0"/>
              <w:adjustRightInd w:val="0"/>
              <w:ind w:left="60" w:right="60"/>
              <w:rPr>
                <w:rFonts w:ascii="Book Antiqua" w:eastAsia="Calibri" w:hAnsi="Book Antiqua"/>
                <w:szCs w:val="20"/>
              </w:rPr>
            </w:pPr>
            <w:r w:rsidRPr="00EB7250">
              <w:rPr>
                <w:rFonts w:ascii="Book Antiqua" w:eastAsia="Calibri" w:hAnsi="Book Antiqua"/>
                <w:szCs w:val="20"/>
              </w:rPr>
              <w:t>RTO_</w:t>
            </w:r>
            <w:r w:rsidRPr="00EB7250">
              <w:rPr>
                <w:rFonts w:ascii="Book Antiqua" w:eastAsia="Calibri" w:hAnsi="Book Antiqua"/>
                <w:szCs w:val="20"/>
                <w:lang w:val="id-ID"/>
              </w:rPr>
              <w:t>before</w:t>
            </w:r>
            <w:r w:rsidRPr="00EB7250">
              <w:rPr>
                <w:rFonts w:ascii="Book Antiqua" w:eastAsia="Calibri" w:hAnsi="Book Antiqua"/>
                <w:szCs w:val="20"/>
              </w:rPr>
              <w:t xml:space="preserve"> COVID 19</w:t>
            </w:r>
          </w:p>
        </w:tc>
        <w:tc>
          <w:tcPr>
            <w:tcW w:w="489"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11</w:t>
            </w:r>
          </w:p>
        </w:tc>
        <w:tc>
          <w:tcPr>
            <w:tcW w:w="758"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0.001</w:t>
            </w:r>
          </w:p>
        </w:tc>
        <w:tc>
          <w:tcPr>
            <w:tcW w:w="792"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23.637</w:t>
            </w:r>
          </w:p>
        </w:tc>
        <w:tc>
          <w:tcPr>
            <w:tcW w:w="755"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4.462</w:t>
            </w:r>
          </w:p>
        </w:tc>
        <w:tc>
          <w:tcPr>
            <w:tcW w:w="1480"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7.395</w:t>
            </w:r>
          </w:p>
        </w:tc>
      </w:tr>
      <w:tr w:rsidR="00C373BA" w:rsidTr="00D943B3">
        <w:trPr>
          <w:cantSplit/>
          <w:jc w:val="center"/>
        </w:trPr>
        <w:tc>
          <w:tcPr>
            <w:tcW w:w="2405" w:type="dxa"/>
            <w:shd w:val="clear" w:color="auto" w:fill="auto"/>
          </w:tcPr>
          <w:p w:rsidR="00817816" w:rsidRPr="00EB7250" w:rsidRDefault="00E90A84" w:rsidP="00817816">
            <w:pPr>
              <w:widowControl/>
              <w:autoSpaceDE w:val="0"/>
              <w:autoSpaceDN w:val="0"/>
              <w:adjustRightInd w:val="0"/>
              <w:ind w:left="60" w:right="60"/>
              <w:rPr>
                <w:rFonts w:ascii="Book Antiqua" w:eastAsia="Calibri" w:hAnsi="Book Antiqua"/>
                <w:szCs w:val="20"/>
              </w:rPr>
            </w:pPr>
            <w:r w:rsidRPr="00EB7250">
              <w:rPr>
                <w:rFonts w:ascii="Book Antiqua" w:eastAsia="Calibri" w:hAnsi="Book Antiqua"/>
                <w:szCs w:val="20"/>
              </w:rPr>
              <w:t>RTO_</w:t>
            </w:r>
            <w:r w:rsidRPr="00EB7250">
              <w:rPr>
                <w:rFonts w:ascii="Book Antiqua" w:eastAsia="Calibri" w:hAnsi="Book Antiqua"/>
                <w:szCs w:val="20"/>
                <w:lang w:val="id-ID"/>
              </w:rPr>
              <w:t>during</w:t>
            </w:r>
            <w:r w:rsidRPr="00EB7250">
              <w:rPr>
                <w:rFonts w:ascii="Book Antiqua" w:eastAsia="Calibri" w:hAnsi="Book Antiqua"/>
                <w:szCs w:val="20"/>
              </w:rPr>
              <w:t xml:space="preserve"> COVID 19</w:t>
            </w:r>
          </w:p>
        </w:tc>
        <w:tc>
          <w:tcPr>
            <w:tcW w:w="489"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11</w:t>
            </w:r>
          </w:p>
        </w:tc>
        <w:tc>
          <w:tcPr>
            <w:tcW w:w="758"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0.001</w:t>
            </w:r>
          </w:p>
        </w:tc>
        <w:tc>
          <w:tcPr>
            <w:tcW w:w="792"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38.954</w:t>
            </w:r>
          </w:p>
        </w:tc>
        <w:tc>
          <w:tcPr>
            <w:tcW w:w="755"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7.097</w:t>
            </w:r>
          </w:p>
        </w:tc>
        <w:tc>
          <w:tcPr>
            <w:tcW w:w="1480" w:type="dxa"/>
            <w:shd w:val="clear" w:color="auto" w:fill="FFFFFF"/>
          </w:tcPr>
          <w:p w:rsidR="00817816"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12.243</w:t>
            </w:r>
          </w:p>
        </w:tc>
      </w:tr>
    </w:tbl>
    <w:p w:rsidR="008A60C1" w:rsidRDefault="008A60C1" w:rsidP="003419A2">
      <w:pPr>
        <w:pStyle w:val="Ventura-Content"/>
        <w:ind w:firstLine="0"/>
        <w:rPr>
          <w:color w:val="000000"/>
          <w:szCs w:val="20"/>
          <w:lang w:val="id-ID"/>
        </w:rPr>
      </w:pPr>
    </w:p>
    <w:p w:rsidR="00EB7250" w:rsidRDefault="00E90A84" w:rsidP="00EB7250">
      <w:pPr>
        <w:pStyle w:val="Ventura-Content"/>
        <w:ind w:firstLine="709"/>
        <w:rPr>
          <w:color w:val="000000"/>
          <w:szCs w:val="20"/>
          <w:lang w:val="id-ID"/>
        </w:rPr>
      </w:pPr>
      <w:r w:rsidRPr="00256EEC">
        <w:rPr>
          <w:color w:val="000000"/>
          <w:szCs w:val="20"/>
        </w:rPr>
        <w:t>T</w:t>
      </w:r>
      <w:r w:rsidR="00D943B3">
        <w:rPr>
          <w:color w:val="000000"/>
          <w:szCs w:val="20"/>
        </w:rPr>
        <w:t>able 8 shows that the eleven</w:t>
      </w:r>
      <w:r w:rsidRPr="00256EEC">
        <w:rPr>
          <w:color w:val="000000"/>
          <w:szCs w:val="20"/>
        </w:rPr>
        <w:t xml:space="preserve"> mining sector companies experienced an increase in the current ratio's average value, from 1.972 to 2.268. The average value of DER also increased from 1.020 to 2.805. The average value of ROA decreased from 0.029 to -0.008, while the average value of receivable turnover increased from 4.462 to 7.097.  </w:t>
      </w:r>
    </w:p>
    <w:p w:rsidR="00D943B3" w:rsidRDefault="00E90A84" w:rsidP="00D943B3">
      <w:pPr>
        <w:pStyle w:val="Ventura-Content"/>
        <w:ind w:firstLine="0"/>
        <w:jc w:val="center"/>
        <w:rPr>
          <w:color w:val="000000"/>
          <w:szCs w:val="20"/>
          <w:lang w:val="id-ID"/>
        </w:rPr>
      </w:pPr>
      <w:r>
        <w:rPr>
          <w:color w:val="000000"/>
          <w:szCs w:val="20"/>
          <w:lang w:val="id-ID"/>
        </w:rPr>
        <w:t>Table</w:t>
      </w:r>
      <w:r w:rsidRPr="00EB7250">
        <w:rPr>
          <w:color w:val="000000"/>
          <w:szCs w:val="20"/>
          <w:lang w:val="id-ID"/>
        </w:rPr>
        <w:t xml:space="preserve"> 9</w:t>
      </w:r>
      <w:r>
        <w:rPr>
          <w:color w:val="000000"/>
          <w:szCs w:val="20"/>
        </w:rPr>
        <w:t xml:space="preserve">. </w:t>
      </w:r>
      <w:r>
        <w:rPr>
          <w:color w:val="000000"/>
          <w:szCs w:val="20"/>
          <w:lang w:val="id-ID"/>
        </w:rPr>
        <w:t>Changes in Average Value of Current Ratio, DER, ROA,</w:t>
      </w:r>
      <w:r>
        <w:rPr>
          <w:color w:val="000000"/>
          <w:szCs w:val="20"/>
        </w:rPr>
        <w:t xml:space="preserve"> </w:t>
      </w:r>
      <w:r>
        <w:rPr>
          <w:color w:val="000000"/>
          <w:szCs w:val="20"/>
          <w:lang w:val="id-ID"/>
        </w:rPr>
        <w:t>and</w:t>
      </w:r>
    </w:p>
    <w:p w:rsidR="003419A2" w:rsidRDefault="00E90A84" w:rsidP="00D943B3">
      <w:pPr>
        <w:pStyle w:val="Ventura-Content"/>
        <w:ind w:firstLine="0"/>
        <w:jc w:val="center"/>
        <w:rPr>
          <w:color w:val="000000"/>
          <w:szCs w:val="20"/>
          <w:lang w:val="id-ID"/>
        </w:rPr>
      </w:pPr>
      <w:r>
        <w:rPr>
          <w:color w:val="000000"/>
          <w:szCs w:val="20"/>
          <w:lang w:val="id-ID"/>
        </w:rPr>
        <w:t xml:space="preserve">Receivable Turnover in </w:t>
      </w:r>
      <w:r w:rsidR="00A15CBD">
        <w:rPr>
          <w:color w:val="000000"/>
          <w:szCs w:val="20"/>
          <w:lang w:val="id-ID"/>
        </w:rPr>
        <w:t xml:space="preserve">the </w:t>
      </w:r>
      <w:r w:rsidRPr="00EB7250">
        <w:rPr>
          <w:color w:val="000000"/>
          <w:szCs w:val="20"/>
          <w:lang w:val="id-ID"/>
        </w:rPr>
        <w:t>Basic Industri &amp; Chemicals Sector</w:t>
      </w:r>
    </w:p>
    <w:tbl>
      <w:tblPr>
        <w:tblW w:w="692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393"/>
        <w:gridCol w:w="562"/>
        <w:gridCol w:w="850"/>
        <w:gridCol w:w="851"/>
        <w:gridCol w:w="850"/>
        <w:gridCol w:w="1423"/>
      </w:tblGrid>
      <w:tr w:rsidR="00C373BA" w:rsidTr="00D943B3">
        <w:trPr>
          <w:cantSplit/>
          <w:jc w:val="center"/>
        </w:trPr>
        <w:tc>
          <w:tcPr>
            <w:tcW w:w="6929" w:type="dxa"/>
            <w:gridSpan w:val="6"/>
            <w:tcBorders>
              <w:bottom w:val="nil"/>
            </w:tcBorders>
            <w:shd w:val="clear" w:color="auto" w:fill="FFFFFF"/>
            <w:vAlign w:val="center"/>
          </w:tcPr>
          <w:p w:rsidR="00EB7250" w:rsidRPr="00EB7250" w:rsidRDefault="00E90A84" w:rsidP="005F20BA">
            <w:pPr>
              <w:widowControl/>
              <w:autoSpaceDE w:val="0"/>
              <w:autoSpaceDN w:val="0"/>
              <w:adjustRightInd w:val="0"/>
              <w:ind w:left="60" w:right="60"/>
              <w:jc w:val="center"/>
              <w:rPr>
                <w:rFonts w:ascii="Book Antiqua" w:eastAsia="Calibri" w:hAnsi="Book Antiqua"/>
                <w:szCs w:val="20"/>
              </w:rPr>
            </w:pPr>
            <w:r w:rsidRPr="00EB7250">
              <w:rPr>
                <w:rFonts w:ascii="Book Antiqua" w:eastAsia="Calibri" w:hAnsi="Book Antiqua"/>
                <w:b/>
                <w:bCs/>
                <w:szCs w:val="20"/>
              </w:rPr>
              <w:t>Descriptive Statistics</w:t>
            </w:r>
          </w:p>
        </w:tc>
      </w:tr>
      <w:tr w:rsidR="00C373BA" w:rsidTr="00D943B3">
        <w:trPr>
          <w:cantSplit/>
          <w:jc w:val="center"/>
        </w:trPr>
        <w:tc>
          <w:tcPr>
            <w:tcW w:w="2393" w:type="dxa"/>
            <w:tcBorders>
              <w:top w:val="nil"/>
              <w:bottom w:val="single" w:sz="4" w:space="0" w:color="auto"/>
            </w:tcBorders>
            <w:shd w:val="clear" w:color="auto" w:fill="FFFFFF"/>
            <w:vAlign w:val="bottom"/>
          </w:tcPr>
          <w:p w:rsidR="00EB7250" w:rsidRPr="00EB7250" w:rsidRDefault="00EB7250" w:rsidP="005F20BA">
            <w:pPr>
              <w:widowControl/>
              <w:autoSpaceDE w:val="0"/>
              <w:autoSpaceDN w:val="0"/>
              <w:adjustRightInd w:val="0"/>
              <w:rPr>
                <w:rFonts w:ascii="Book Antiqua" w:eastAsia="Calibri" w:hAnsi="Book Antiqua"/>
                <w:szCs w:val="20"/>
              </w:rPr>
            </w:pPr>
          </w:p>
        </w:tc>
        <w:tc>
          <w:tcPr>
            <w:tcW w:w="562" w:type="dxa"/>
            <w:tcBorders>
              <w:top w:val="nil"/>
              <w:bottom w:val="single" w:sz="4" w:space="0" w:color="auto"/>
            </w:tcBorders>
            <w:shd w:val="clear" w:color="auto" w:fill="FFFFFF"/>
            <w:vAlign w:val="bottom"/>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N</w:t>
            </w:r>
          </w:p>
        </w:tc>
        <w:tc>
          <w:tcPr>
            <w:tcW w:w="850" w:type="dxa"/>
            <w:tcBorders>
              <w:top w:val="nil"/>
              <w:bottom w:val="single" w:sz="4" w:space="0" w:color="auto"/>
            </w:tcBorders>
            <w:shd w:val="clear" w:color="auto" w:fill="FFFFFF"/>
            <w:vAlign w:val="bottom"/>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Min</w:t>
            </w:r>
          </w:p>
        </w:tc>
        <w:tc>
          <w:tcPr>
            <w:tcW w:w="851" w:type="dxa"/>
            <w:tcBorders>
              <w:top w:val="nil"/>
              <w:bottom w:val="single" w:sz="4" w:space="0" w:color="auto"/>
            </w:tcBorders>
            <w:shd w:val="clear" w:color="auto" w:fill="FFFFFF"/>
            <w:vAlign w:val="bottom"/>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Max</w:t>
            </w:r>
          </w:p>
        </w:tc>
        <w:tc>
          <w:tcPr>
            <w:tcW w:w="850" w:type="dxa"/>
            <w:tcBorders>
              <w:top w:val="nil"/>
              <w:bottom w:val="single" w:sz="4" w:space="0" w:color="auto"/>
            </w:tcBorders>
            <w:shd w:val="clear" w:color="auto" w:fill="FFFFFF"/>
            <w:vAlign w:val="bottom"/>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Mean</w:t>
            </w:r>
          </w:p>
        </w:tc>
        <w:tc>
          <w:tcPr>
            <w:tcW w:w="1423" w:type="dxa"/>
            <w:tcBorders>
              <w:top w:val="nil"/>
              <w:bottom w:val="single" w:sz="4" w:space="0" w:color="auto"/>
            </w:tcBorders>
            <w:shd w:val="clear" w:color="auto" w:fill="FFFFFF"/>
            <w:vAlign w:val="bottom"/>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Std. Deviation</w:t>
            </w:r>
          </w:p>
        </w:tc>
      </w:tr>
      <w:tr w:rsidR="00C373BA" w:rsidTr="00D943B3">
        <w:trPr>
          <w:cantSplit/>
          <w:jc w:val="center"/>
        </w:trPr>
        <w:tc>
          <w:tcPr>
            <w:tcW w:w="2393" w:type="dxa"/>
            <w:tcBorders>
              <w:top w:val="single" w:sz="4" w:space="0" w:color="auto"/>
            </w:tcBorders>
            <w:shd w:val="clear" w:color="auto" w:fill="auto"/>
          </w:tcPr>
          <w:p w:rsidR="00EB7250" w:rsidRPr="00EB7250" w:rsidRDefault="00E90A84" w:rsidP="005F20BA">
            <w:pPr>
              <w:widowControl/>
              <w:autoSpaceDE w:val="0"/>
              <w:autoSpaceDN w:val="0"/>
              <w:adjustRightInd w:val="0"/>
              <w:ind w:left="60" w:right="60"/>
              <w:rPr>
                <w:rFonts w:ascii="Book Antiqua" w:eastAsia="Calibri" w:hAnsi="Book Antiqua"/>
                <w:szCs w:val="20"/>
              </w:rPr>
            </w:pPr>
            <w:r>
              <w:rPr>
                <w:rFonts w:ascii="Book Antiqua" w:eastAsia="Calibri" w:hAnsi="Book Antiqua"/>
                <w:szCs w:val="20"/>
              </w:rPr>
              <w:t>CR_</w:t>
            </w:r>
            <w:r>
              <w:rPr>
                <w:rFonts w:ascii="Book Antiqua" w:eastAsia="Calibri" w:hAnsi="Book Antiqua"/>
                <w:szCs w:val="20"/>
                <w:lang w:val="id-ID"/>
              </w:rPr>
              <w:t>before</w:t>
            </w:r>
            <w:r w:rsidRPr="00EB7250">
              <w:rPr>
                <w:rFonts w:ascii="Book Antiqua" w:eastAsia="Calibri" w:hAnsi="Book Antiqua"/>
                <w:szCs w:val="20"/>
              </w:rPr>
              <w:t xml:space="preserve"> </w:t>
            </w:r>
            <w:r w:rsidR="00D943B3" w:rsidRPr="00EB7250">
              <w:rPr>
                <w:rFonts w:ascii="Book Antiqua" w:eastAsia="Calibri" w:hAnsi="Book Antiqua"/>
                <w:szCs w:val="20"/>
              </w:rPr>
              <w:t>COVID</w:t>
            </w:r>
            <w:r w:rsidRPr="00EB7250">
              <w:rPr>
                <w:rFonts w:ascii="Book Antiqua" w:eastAsia="Calibri" w:hAnsi="Book Antiqua"/>
                <w:szCs w:val="20"/>
              </w:rPr>
              <w:t xml:space="preserve"> 19</w:t>
            </w:r>
          </w:p>
        </w:tc>
        <w:tc>
          <w:tcPr>
            <w:tcW w:w="562" w:type="dxa"/>
            <w:tcBorders>
              <w:top w:val="single" w:sz="4" w:space="0" w:color="auto"/>
            </w:tcBorders>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24</w:t>
            </w:r>
          </w:p>
        </w:tc>
        <w:tc>
          <w:tcPr>
            <w:tcW w:w="850" w:type="dxa"/>
            <w:tcBorders>
              <w:top w:val="single" w:sz="4" w:space="0" w:color="auto"/>
            </w:tcBorders>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0.858</w:t>
            </w:r>
          </w:p>
        </w:tc>
        <w:tc>
          <w:tcPr>
            <w:tcW w:w="851" w:type="dxa"/>
            <w:tcBorders>
              <w:top w:val="single" w:sz="4" w:space="0" w:color="auto"/>
            </w:tcBorders>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4.329</w:t>
            </w:r>
          </w:p>
        </w:tc>
        <w:tc>
          <w:tcPr>
            <w:tcW w:w="850" w:type="dxa"/>
            <w:tcBorders>
              <w:top w:val="single" w:sz="4" w:space="0" w:color="auto"/>
            </w:tcBorders>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1.798</w:t>
            </w:r>
          </w:p>
        </w:tc>
        <w:tc>
          <w:tcPr>
            <w:tcW w:w="1423" w:type="dxa"/>
            <w:tcBorders>
              <w:top w:val="single" w:sz="4" w:space="0" w:color="auto"/>
            </w:tcBorders>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1.082</w:t>
            </w:r>
          </w:p>
        </w:tc>
      </w:tr>
      <w:tr w:rsidR="00C373BA" w:rsidTr="00D943B3">
        <w:trPr>
          <w:cantSplit/>
          <w:jc w:val="center"/>
        </w:trPr>
        <w:tc>
          <w:tcPr>
            <w:tcW w:w="2393" w:type="dxa"/>
            <w:shd w:val="clear" w:color="auto" w:fill="auto"/>
          </w:tcPr>
          <w:p w:rsidR="00EB7250" w:rsidRPr="00EB7250" w:rsidRDefault="00E90A84" w:rsidP="005F20BA">
            <w:pPr>
              <w:widowControl/>
              <w:autoSpaceDE w:val="0"/>
              <w:autoSpaceDN w:val="0"/>
              <w:adjustRightInd w:val="0"/>
              <w:ind w:left="60" w:right="60"/>
              <w:rPr>
                <w:rFonts w:ascii="Book Antiqua" w:eastAsia="Calibri" w:hAnsi="Book Antiqua"/>
                <w:szCs w:val="20"/>
              </w:rPr>
            </w:pPr>
            <w:r>
              <w:rPr>
                <w:rFonts w:ascii="Book Antiqua" w:eastAsia="Calibri" w:hAnsi="Book Antiqua"/>
                <w:szCs w:val="20"/>
              </w:rPr>
              <w:t>CR_</w:t>
            </w:r>
            <w:r>
              <w:rPr>
                <w:rFonts w:ascii="Book Antiqua" w:eastAsia="Calibri" w:hAnsi="Book Antiqua"/>
                <w:szCs w:val="20"/>
                <w:lang w:val="id-ID"/>
              </w:rPr>
              <w:t>during</w:t>
            </w:r>
            <w:r w:rsidRPr="00EB7250">
              <w:rPr>
                <w:rFonts w:ascii="Book Antiqua" w:eastAsia="Calibri" w:hAnsi="Book Antiqua"/>
                <w:szCs w:val="20"/>
              </w:rPr>
              <w:t xml:space="preserve"> </w:t>
            </w:r>
            <w:r w:rsidR="00D943B3" w:rsidRPr="00EB7250">
              <w:rPr>
                <w:rFonts w:ascii="Book Antiqua" w:eastAsia="Calibri" w:hAnsi="Book Antiqua"/>
                <w:szCs w:val="20"/>
              </w:rPr>
              <w:t>COVID 19</w:t>
            </w:r>
          </w:p>
        </w:tc>
        <w:tc>
          <w:tcPr>
            <w:tcW w:w="562"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24</w:t>
            </w:r>
          </w:p>
        </w:tc>
        <w:tc>
          <w:tcPr>
            <w:tcW w:w="850"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0.415</w:t>
            </w:r>
          </w:p>
        </w:tc>
        <w:tc>
          <w:tcPr>
            <w:tcW w:w="851"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15.365</w:t>
            </w:r>
          </w:p>
        </w:tc>
        <w:tc>
          <w:tcPr>
            <w:tcW w:w="850"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2.404</w:t>
            </w:r>
          </w:p>
        </w:tc>
        <w:tc>
          <w:tcPr>
            <w:tcW w:w="1423"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3.171</w:t>
            </w:r>
          </w:p>
        </w:tc>
      </w:tr>
      <w:tr w:rsidR="00C373BA" w:rsidTr="00D943B3">
        <w:trPr>
          <w:cantSplit/>
          <w:jc w:val="center"/>
        </w:trPr>
        <w:tc>
          <w:tcPr>
            <w:tcW w:w="2393" w:type="dxa"/>
            <w:shd w:val="clear" w:color="auto" w:fill="auto"/>
          </w:tcPr>
          <w:p w:rsidR="00EB7250" w:rsidRPr="00EB7250" w:rsidRDefault="00E90A84" w:rsidP="005F20BA">
            <w:pPr>
              <w:widowControl/>
              <w:autoSpaceDE w:val="0"/>
              <w:autoSpaceDN w:val="0"/>
              <w:adjustRightInd w:val="0"/>
              <w:ind w:left="60" w:right="60"/>
              <w:rPr>
                <w:rFonts w:ascii="Book Antiqua" w:eastAsia="Calibri" w:hAnsi="Book Antiqua"/>
                <w:szCs w:val="20"/>
              </w:rPr>
            </w:pPr>
            <w:r>
              <w:rPr>
                <w:rFonts w:ascii="Book Antiqua" w:eastAsia="Calibri" w:hAnsi="Book Antiqua"/>
                <w:szCs w:val="20"/>
              </w:rPr>
              <w:t>DER_</w:t>
            </w:r>
            <w:r>
              <w:rPr>
                <w:rFonts w:ascii="Book Antiqua" w:eastAsia="Calibri" w:hAnsi="Book Antiqua"/>
                <w:szCs w:val="20"/>
                <w:lang w:val="id-ID"/>
              </w:rPr>
              <w:t>before</w:t>
            </w:r>
            <w:r w:rsidRPr="00EB7250">
              <w:rPr>
                <w:rFonts w:ascii="Book Antiqua" w:eastAsia="Calibri" w:hAnsi="Book Antiqua"/>
                <w:szCs w:val="20"/>
              </w:rPr>
              <w:t xml:space="preserve"> </w:t>
            </w:r>
            <w:r w:rsidR="00D943B3" w:rsidRPr="00EB7250">
              <w:rPr>
                <w:rFonts w:ascii="Book Antiqua" w:eastAsia="Calibri" w:hAnsi="Book Antiqua"/>
                <w:szCs w:val="20"/>
              </w:rPr>
              <w:t>COVID 19</w:t>
            </w:r>
          </w:p>
        </w:tc>
        <w:tc>
          <w:tcPr>
            <w:tcW w:w="562"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24</w:t>
            </w:r>
          </w:p>
        </w:tc>
        <w:tc>
          <w:tcPr>
            <w:tcW w:w="850"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0.166</w:t>
            </w:r>
          </w:p>
        </w:tc>
        <w:tc>
          <w:tcPr>
            <w:tcW w:w="851"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10.535</w:t>
            </w:r>
          </w:p>
        </w:tc>
        <w:tc>
          <w:tcPr>
            <w:tcW w:w="850"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2.163</w:t>
            </w:r>
          </w:p>
        </w:tc>
        <w:tc>
          <w:tcPr>
            <w:tcW w:w="1423"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3.100</w:t>
            </w:r>
          </w:p>
        </w:tc>
      </w:tr>
      <w:tr w:rsidR="00C373BA" w:rsidTr="00D943B3">
        <w:trPr>
          <w:cantSplit/>
          <w:jc w:val="center"/>
        </w:trPr>
        <w:tc>
          <w:tcPr>
            <w:tcW w:w="2393" w:type="dxa"/>
            <w:shd w:val="clear" w:color="auto" w:fill="auto"/>
          </w:tcPr>
          <w:p w:rsidR="00EB7250" w:rsidRPr="00EB7250" w:rsidRDefault="00E90A84" w:rsidP="005F20BA">
            <w:pPr>
              <w:widowControl/>
              <w:autoSpaceDE w:val="0"/>
              <w:autoSpaceDN w:val="0"/>
              <w:adjustRightInd w:val="0"/>
              <w:ind w:left="60" w:right="60"/>
              <w:rPr>
                <w:rFonts w:ascii="Book Antiqua" w:eastAsia="Calibri" w:hAnsi="Book Antiqua"/>
                <w:szCs w:val="20"/>
              </w:rPr>
            </w:pPr>
            <w:r>
              <w:rPr>
                <w:rFonts w:ascii="Book Antiqua" w:eastAsia="Calibri" w:hAnsi="Book Antiqua"/>
                <w:szCs w:val="20"/>
              </w:rPr>
              <w:t>DER_</w:t>
            </w:r>
            <w:r>
              <w:rPr>
                <w:rFonts w:ascii="Book Antiqua" w:eastAsia="Calibri" w:hAnsi="Book Antiqua"/>
                <w:szCs w:val="20"/>
                <w:lang w:val="id-ID"/>
              </w:rPr>
              <w:t>during</w:t>
            </w:r>
            <w:r w:rsidRPr="00EB7250">
              <w:rPr>
                <w:rFonts w:ascii="Book Antiqua" w:eastAsia="Calibri" w:hAnsi="Book Antiqua"/>
                <w:szCs w:val="20"/>
              </w:rPr>
              <w:t xml:space="preserve"> </w:t>
            </w:r>
            <w:r w:rsidR="00D943B3" w:rsidRPr="00EB7250">
              <w:rPr>
                <w:rFonts w:ascii="Book Antiqua" w:eastAsia="Calibri" w:hAnsi="Book Antiqua"/>
                <w:szCs w:val="20"/>
              </w:rPr>
              <w:t>COVID 19</w:t>
            </w:r>
          </w:p>
        </w:tc>
        <w:tc>
          <w:tcPr>
            <w:tcW w:w="562"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24</w:t>
            </w:r>
          </w:p>
        </w:tc>
        <w:tc>
          <w:tcPr>
            <w:tcW w:w="850"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0.005</w:t>
            </w:r>
          </w:p>
        </w:tc>
        <w:tc>
          <w:tcPr>
            <w:tcW w:w="851"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10.059</w:t>
            </w:r>
          </w:p>
        </w:tc>
        <w:tc>
          <w:tcPr>
            <w:tcW w:w="850"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0.511</w:t>
            </w:r>
          </w:p>
        </w:tc>
        <w:tc>
          <w:tcPr>
            <w:tcW w:w="1423"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4.006</w:t>
            </w:r>
          </w:p>
        </w:tc>
      </w:tr>
      <w:tr w:rsidR="00C373BA" w:rsidTr="00D943B3">
        <w:trPr>
          <w:cantSplit/>
          <w:jc w:val="center"/>
        </w:trPr>
        <w:tc>
          <w:tcPr>
            <w:tcW w:w="2393" w:type="dxa"/>
            <w:shd w:val="clear" w:color="auto" w:fill="auto"/>
          </w:tcPr>
          <w:p w:rsidR="00EB7250" w:rsidRPr="00EB7250" w:rsidRDefault="00E90A84" w:rsidP="005F20BA">
            <w:pPr>
              <w:widowControl/>
              <w:autoSpaceDE w:val="0"/>
              <w:autoSpaceDN w:val="0"/>
              <w:adjustRightInd w:val="0"/>
              <w:ind w:left="60" w:right="60"/>
              <w:rPr>
                <w:rFonts w:ascii="Book Antiqua" w:eastAsia="Calibri" w:hAnsi="Book Antiqua"/>
                <w:szCs w:val="20"/>
              </w:rPr>
            </w:pPr>
            <w:r>
              <w:rPr>
                <w:rFonts w:ascii="Book Antiqua" w:eastAsia="Calibri" w:hAnsi="Book Antiqua"/>
                <w:szCs w:val="20"/>
              </w:rPr>
              <w:t>ROA_</w:t>
            </w:r>
            <w:r>
              <w:rPr>
                <w:rFonts w:ascii="Book Antiqua" w:eastAsia="Calibri" w:hAnsi="Book Antiqua"/>
                <w:szCs w:val="20"/>
                <w:lang w:val="id-ID"/>
              </w:rPr>
              <w:t>before</w:t>
            </w:r>
            <w:r w:rsidRPr="00EB7250">
              <w:rPr>
                <w:rFonts w:ascii="Book Antiqua" w:eastAsia="Calibri" w:hAnsi="Book Antiqua"/>
                <w:szCs w:val="20"/>
              </w:rPr>
              <w:t xml:space="preserve"> </w:t>
            </w:r>
            <w:r w:rsidR="00D943B3" w:rsidRPr="00EB7250">
              <w:rPr>
                <w:rFonts w:ascii="Book Antiqua" w:eastAsia="Calibri" w:hAnsi="Book Antiqua"/>
                <w:szCs w:val="20"/>
              </w:rPr>
              <w:t>COVID 19</w:t>
            </w:r>
          </w:p>
        </w:tc>
        <w:tc>
          <w:tcPr>
            <w:tcW w:w="562"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24</w:t>
            </w:r>
          </w:p>
        </w:tc>
        <w:tc>
          <w:tcPr>
            <w:tcW w:w="850"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-0.019</w:t>
            </w:r>
          </w:p>
        </w:tc>
        <w:tc>
          <w:tcPr>
            <w:tcW w:w="851"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0.059</w:t>
            </w:r>
          </w:p>
        </w:tc>
        <w:tc>
          <w:tcPr>
            <w:tcW w:w="850"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0.007</w:t>
            </w:r>
          </w:p>
        </w:tc>
        <w:tc>
          <w:tcPr>
            <w:tcW w:w="1423"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0.018</w:t>
            </w:r>
          </w:p>
        </w:tc>
      </w:tr>
      <w:tr w:rsidR="00C373BA" w:rsidTr="00D943B3">
        <w:trPr>
          <w:cantSplit/>
          <w:jc w:val="center"/>
        </w:trPr>
        <w:tc>
          <w:tcPr>
            <w:tcW w:w="2393" w:type="dxa"/>
            <w:shd w:val="clear" w:color="auto" w:fill="auto"/>
          </w:tcPr>
          <w:p w:rsidR="00EB7250" w:rsidRPr="00EB7250" w:rsidRDefault="00E90A84" w:rsidP="005F20BA">
            <w:pPr>
              <w:widowControl/>
              <w:autoSpaceDE w:val="0"/>
              <w:autoSpaceDN w:val="0"/>
              <w:adjustRightInd w:val="0"/>
              <w:ind w:left="60" w:right="60"/>
              <w:rPr>
                <w:rFonts w:ascii="Book Antiqua" w:eastAsia="Calibri" w:hAnsi="Book Antiqua"/>
                <w:szCs w:val="20"/>
              </w:rPr>
            </w:pPr>
            <w:r>
              <w:rPr>
                <w:rFonts w:ascii="Book Antiqua" w:eastAsia="Calibri" w:hAnsi="Book Antiqua"/>
                <w:szCs w:val="20"/>
              </w:rPr>
              <w:t>ROA_</w:t>
            </w:r>
            <w:r>
              <w:rPr>
                <w:rFonts w:ascii="Book Antiqua" w:eastAsia="Calibri" w:hAnsi="Book Antiqua"/>
                <w:szCs w:val="20"/>
                <w:lang w:val="id-ID"/>
              </w:rPr>
              <w:t>during</w:t>
            </w:r>
            <w:r w:rsidRPr="00EB7250">
              <w:rPr>
                <w:rFonts w:ascii="Book Antiqua" w:eastAsia="Calibri" w:hAnsi="Book Antiqua"/>
                <w:szCs w:val="20"/>
              </w:rPr>
              <w:t xml:space="preserve"> </w:t>
            </w:r>
            <w:r w:rsidR="00D943B3" w:rsidRPr="00EB7250">
              <w:rPr>
                <w:rFonts w:ascii="Book Antiqua" w:eastAsia="Calibri" w:hAnsi="Book Antiqua"/>
                <w:szCs w:val="20"/>
              </w:rPr>
              <w:t>COVID 19</w:t>
            </w:r>
          </w:p>
        </w:tc>
        <w:tc>
          <w:tcPr>
            <w:tcW w:w="562"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24</w:t>
            </w:r>
          </w:p>
        </w:tc>
        <w:tc>
          <w:tcPr>
            <w:tcW w:w="850"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-0.534</w:t>
            </w:r>
          </w:p>
        </w:tc>
        <w:tc>
          <w:tcPr>
            <w:tcW w:w="851"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0.070</w:t>
            </w:r>
          </w:p>
        </w:tc>
        <w:tc>
          <w:tcPr>
            <w:tcW w:w="850"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-0.029</w:t>
            </w:r>
          </w:p>
        </w:tc>
        <w:tc>
          <w:tcPr>
            <w:tcW w:w="1423"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0.148</w:t>
            </w:r>
          </w:p>
        </w:tc>
      </w:tr>
      <w:tr w:rsidR="00C373BA" w:rsidTr="00D943B3">
        <w:trPr>
          <w:cantSplit/>
          <w:jc w:val="center"/>
        </w:trPr>
        <w:tc>
          <w:tcPr>
            <w:tcW w:w="2393" w:type="dxa"/>
            <w:shd w:val="clear" w:color="auto" w:fill="auto"/>
          </w:tcPr>
          <w:p w:rsidR="00EB7250" w:rsidRPr="00EB7250" w:rsidRDefault="00E90A84" w:rsidP="005F20BA">
            <w:pPr>
              <w:widowControl/>
              <w:autoSpaceDE w:val="0"/>
              <w:autoSpaceDN w:val="0"/>
              <w:adjustRightInd w:val="0"/>
              <w:ind w:left="60" w:right="60"/>
              <w:rPr>
                <w:rFonts w:ascii="Book Antiqua" w:eastAsia="Calibri" w:hAnsi="Book Antiqua"/>
                <w:szCs w:val="20"/>
              </w:rPr>
            </w:pPr>
            <w:r>
              <w:rPr>
                <w:rFonts w:ascii="Book Antiqua" w:eastAsia="Calibri" w:hAnsi="Book Antiqua"/>
                <w:szCs w:val="20"/>
              </w:rPr>
              <w:t>RTO_</w:t>
            </w:r>
            <w:r>
              <w:rPr>
                <w:rFonts w:ascii="Book Antiqua" w:eastAsia="Calibri" w:hAnsi="Book Antiqua"/>
                <w:szCs w:val="20"/>
                <w:lang w:val="id-ID"/>
              </w:rPr>
              <w:t>before</w:t>
            </w:r>
            <w:r w:rsidRPr="00EB7250">
              <w:rPr>
                <w:rFonts w:ascii="Book Antiqua" w:eastAsia="Calibri" w:hAnsi="Book Antiqua"/>
                <w:szCs w:val="20"/>
              </w:rPr>
              <w:t xml:space="preserve"> </w:t>
            </w:r>
            <w:r w:rsidR="00D943B3" w:rsidRPr="00EB7250">
              <w:rPr>
                <w:rFonts w:ascii="Book Antiqua" w:eastAsia="Calibri" w:hAnsi="Book Antiqua"/>
                <w:szCs w:val="20"/>
              </w:rPr>
              <w:t>COVID 19</w:t>
            </w:r>
          </w:p>
        </w:tc>
        <w:tc>
          <w:tcPr>
            <w:tcW w:w="562"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24</w:t>
            </w:r>
          </w:p>
        </w:tc>
        <w:tc>
          <w:tcPr>
            <w:tcW w:w="850"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1.044</w:t>
            </w:r>
          </w:p>
        </w:tc>
        <w:tc>
          <w:tcPr>
            <w:tcW w:w="851"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44.292</w:t>
            </w:r>
          </w:p>
        </w:tc>
        <w:tc>
          <w:tcPr>
            <w:tcW w:w="850"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5.395</w:t>
            </w:r>
          </w:p>
        </w:tc>
        <w:tc>
          <w:tcPr>
            <w:tcW w:w="1423"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9.538</w:t>
            </w:r>
          </w:p>
        </w:tc>
      </w:tr>
      <w:tr w:rsidR="00C373BA" w:rsidTr="00D943B3">
        <w:trPr>
          <w:cantSplit/>
          <w:jc w:val="center"/>
        </w:trPr>
        <w:tc>
          <w:tcPr>
            <w:tcW w:w="2393" w:type="dxa"/>
            <w:shd w:val="clear" w:color="auto" w:fill="auto"/>
          </w:tcPr>
          <w:p w:rsidR="00EB7250" w:rsidRPr="00EB7250" w:rsidRDefault="00E90A84" w:rsidP="005F20BA">
            <w:pPr>
              <w:widowControl/>
              <w:autoSpaceDE w:val="0"/>
              <w:autoSpaceDN w:val="0"/>
              <w:adjustRightInd w:val="0"/>
              <w:ind w:left="60" w:right="60"/>
              <w:rPr>
                <w:rFonts w:ascii="Book Antiqua" w:eastAsia="Calibri" w:hAnsi="Book Antiqua"/>
                <w:szCs w:val="20"/>
              </w:rPr>
            </w:pPr>
            <w:r>
              <w:rPr>
                <w:rFonts w:ascii="Book Antiqua" w:eastAsia="Calibri" w:hAnsi="Book Antiqua"/>
                <w:szCs w:val="20"/>
              </w:rPr>
              <w:t>RTO_</w:t>
            </w:r>
            <w:r>
              <w:rPr>
                <w:rFonts w:ascii="Book Antiqua" w:eastAsia="Calibri" w:hAnsi="Book Antiqua"/>
                <w:szCs w:val="20"/>
                <w:lang w:val="id-ID"/>
              </w:rPr>
              <w:t>during</w:t>
            </w:r>
            <w:r w:rsidRPr="00EB7250">
              <w:rPr>
                <w:rFonts w:ascii="Book Antiqua" w:eastAsia="Calibri" w:hAnsi="Book Antiqua"/>
                <w:szCs w:val="20"/>
              </w:rPr>
              <w:t xml:space="preserve"> </w:t>
            </w:r>
            <w:r w:rsidR="00D943B3" w:rsidRPr="00EB7250">
              <w:rPr>
                <w:rFonts w:ascii="Book Antiqua" w:eastAsia="Calibri" w:hAnsi="Book Antiqua"/>
                <w:szCs w:val="20"/>
              </w:rPr>
              <w:t>COVID 19</w:t>
            </w:r>
          </w:p>
        </w:tc>
        <w:tc>
          <w:tcPr>
            <w:tcW w:w="562"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24</w:t>
            </w:r>
          </w:p>
        </w:tc>
        <w:tc>
          <w:tcPr>
            <w:tcW w:w="850"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1.767</w:t>
            </w:r>
          </w:p>
        </w:tc>
        <w:tc>
          <w:tcPr>
            <w:tcW w:w="851"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27.409</w:t>
            </w:r>
          </w:p>
        </w:tc>
        <w:tc>
          <w:tcPr>
            <w:tcW w:w="850"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6.678</w:t>
            </w:r>
          </w:p>
        </w:tc>
        <w:tc>
          <w:tcPr>
            <w:tcW w:w="1423" w:type="dxa"/>
            <w:shd w:val="clear" w:color="auto" w:fill="FFFFFF"/>
          </w:tcPr>
          <w:p w:rsidR="00EB7250" w:rsidRPr="00EB7250" w:rsidRDefault="00E90A84" w:rsidP="00D943B3">
            <w:pPr>
              <w:widowControl/>
              <w:autoSpaceDE w:val="0"/>
              <w:autoSpaceDN w:val="0"/>
              <w:adjustRightInd w:val="0"/>
              <w:ind w:left="60" w:right="60"/>
              <w:jc w:val="left"/>
              <w:rPr>
                <w:rFonts w:ascii="Book Antiqua" w:eastAsia="Calibri" w:hAnsi="Book Antiqua"/>
                <w:szCs w:val="20"/>
              </w:rPr>
            </w:pPr>
            <w:r w:rsidRPr="00EB7250">
              <w:rPr>
                <w:rFonts w:ascii="Book Antiqua" w:eastAsia="Calibri" w:hAnsi="Book Antiqua"/>
                <w:szCs w:val="20"/>
              </w:rPr>
              <w:t>6.253</w:t>
            </w:r>
          </w:p>
        </w:tc>
      </w:tr>
    </w:tbl>
    <w:p w:rsidR="00EB7250" w:rsidRDefault="00EB7250" w:rsidP="003419A2">
      <w:pPr>
        <w:pStyle w:val="Ventura-Content"/>
        <w:ind w:firstLine="0"/>
        <w:rPr>
          <w:color w:val="000000"/>
          <w:szCs w:val="20"/>
          <w:lang w:val="id-ID"/>
        </w:rPr>
      </w:pPr>
    </w:p>
    <w:p w:rsidR="003419A2" w:rsidRDefault="00E90A84" w:rsidP="00EB7250">
      <w:pPr>
        <w:pStyle w:val="Ventura-Content"/>
        <w:ind w:firstLine="709"/>
        <w:rPr>
          <w:color w:val="000000"/>
          <w:szCs w:val="20"/>
          <w:lang w:val="id-ID"/>
        </w:rPr>
      </w:pPr>
      <w:r w:rsidRPr="00256EEC">
        <w:rPr>
          <w:color w:val="000000"/>
          <w:szCs w:val="20"/>
        </w:rPr>
        <w:t xml:space="preserve">Table 9 shows that the </w:t>
      </w:r>
      <w:r w:rsidR="00D943B3">
        <w:rPr>
          <w:color w:val="000000"/>
          <w:szCs w:val="20"/>
        </w:rPr>
        <w:t>twenty-four</w:t>
      </w:r>
      <w:r w:rsidRPr="00256EEC">
        <w:rPr>
          <w:color w:val="000000"/>
          <w:szCs w:val="20"/>
        </w:rPr>
        <w:t xml:space="preserve"> Basic Industry and Chemicals sector companies experienced an increase in the current ratio's average value from 1.798 to 2.404. In contrast, the average value of DER decreased from 2.163 to 0.511. The average value of ROA also decreased from 0.007 to -0.029, while the average value of receivable turnover increased from 5.395 to 6.678. </w:t>
      </w:r>
    </w:p>
    <w:p w:rsidR="003419A2" w:rsidRDefault="003419A2" w:rsidP="003419A2">
      <w:pPr>
        <w:pStyle w:val="Ventura-Content"/>
        <w:ind w:firstLine="0"/>
        <w:rPr>
          <w:color w:val="000000"/>
          <w:szCs w:val="20"/>
          <w:lang w:val="id-ID"/>
        </w:rPr>
      </w:pPr>
    </w:p>
    <w:p w:rsidR="00D943B3" w:rsidRDefault="00E90A84" w:rsidP="00D943B3">
      <w:pPr>
        <w:pStyle w:val="Ventura-Content"/>
        <w:ind w:firstLine="0"/>
        <w:jc w:val="center"/>
        <w:rPr>
          <w:color w:val="000000"/>
          <w:szCs w:val="20"/>
        </w:rPr>
      </w:pPr>
      <w:r w:rsidRPr="00256EEC">
        <w:rPr>
          <w:color w:val="000000"/>
          <w:szCs w:val="20"/>
        </w:rPr>
        <w:t>Table 10</w:t>
      </w:r>
      <w:r>
        <w:rPr>
          <w:color w:val="000000"/>
          <w:szCs w:val="20"/>
        </w:rPr>
        <w:t xml:space="preserve">. </w:t>
      </w:r>
      <w:r w:rsidRPr="00256EEC">
        <w:rPr>
          <w:color w:val="000000"/>
          <w:szCs w:val="20"/>
        </w:rPr>
        <w:t>Changes in Average Value of Current Ratio, DER, ROA,</w:t>
      </w:r>
      <w:r>
        <w:rPr>
          <w:color w:val="000000"/>
          <w:szCs w:val="20"/>
        </w:rPr>
        <w:t xml:space="preserve"> and</w:t>
      </w:r>
    </w:p>
    <w:p w:rsidR="003419A2" w:rsidRDefault="00E90A84" w:rsidP="00EB7250">
      <w:pPr>
        <w:pStyle w:val="Ventura-Content"/>
        <w:ind w:firstLine="0"/>
        <w:jc w:val="center"/>
        <w:rPr>
          <w:color w:val="000000"/>
          <w:szCs w:val="20"/>
          <w:lang w:val="id-ID"/>
        </w:rPr>
      </w:pPr>
      <w:r>
        <w:rPr>
          <w:color w:val="000000"/>
          <w:szCs w:val="20"/>
        </w:rPr>
        <w:t>Receivable Turnover</w:t>
      </w:r>
      <w:r w:rsidR="00D943B3">
        <w:rPr>
          <w:color w:val="000000"/>
          <w:szCs w:val="20"/>
        </w:rPr>
        <w:t xml:space="preserve"> </w:t>
      </w:r>
      <w:r>
        <w:rPr>
          <w:color w:val="000000"/>
          <w:szCs w:val="20"/>
        </w:rPr>
        <w:t xml:space="preserve">in </w:t>
      </w:r>
      <w:r w:rsidR="00A15CBD">
        <w:rPr>
          <w:color w:val="000000"/>
          <w:szCs w:val="20"/>
          <w:lang w:val="id-ID"/>
        </w:rPr>
        <w:t xml:space="preserve">the </w:t>
      </w:r>
      <w:r w:rsidR="002A42E0" w:rsidRPr="00256EEC">
        <w:rPr>
          <w:color w:val="000000"/>
          <w:szCs w:val="20"/>
        </w:rPr>
        <w:t>Miscellaneous Sector</w:t>
      </w:r>
    </w:p>
    <w:tbl>
      <w:tblPr>
        <w:tblW w:w="7229" w:type="dxa"/>
        <w:tblInd w:w="127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10"/>
        <w:gridCol w:w="567"/>
        <w:gridCol w:w="850"/>
        <w:gridCol w:w="851"/>
        <w:gridCol w:w="850"/>
        <w:gridCol w:w="1701"/>
      </w:tblGrid>
      <w:tr w:rsidR="00C373BA" w:rsidTr="00625FC7">
        <w:trPr>
          <w:cantSplit/>
        </w:trPr>
        <w:tc>
          <w:tcPr>
            <w:tcW w:w="7229" w:type="dxa"/>
            <w:gridSpan w:val="6"/>
            <w:tcBorders>
              <w:bottom w:val="nil"/>
            </w:tcBorders>
            <w:shd w:val="clear" w:color="auto" w:fill="FFFFFF"/>
            <w:vAlign w:val="center"/>
          </w:tcPr>
          <w:p w:rsidR="00EB7250" w:rsidRPr="00565F86" w:rsidRDefault="00E90A84" w:rsidP="005F20BA">
            <w:pPr>
              <w:widowControl/>
              <w:autoSpaceDE w:val="0"/>
              <w:autoSpaceDN w:val="0"/>
              <w:adjustRightInd w:val="0"/>
              <w:ind w:left="60" w:right="60"/>
              <w:jc w:val="center"/>
              <w:rPr>
                <w:rFonts w:ascii="Book Antiqua" w:eastAsia="Calibri" w:hAnsi="Book Antiqua"/>
                <w:szCs w:val="20"/>
                <w:lang w:eastAsia="id-ID"/>
              </w:rPr>
            </w:pPr>
            <w:r w:rsidRPr="00565F86">
              <w:rPr>
                <w:rFonts w:ascii="Book Antiqua" w:eastAsia="Calibri" w:hAnsi="Book Antiqua"/>
                <w:b/>
                <w:bCs/>
                <w:szCs w:val="20"/>
                <w:lang w:eastAsia="id-ID"/>
              </w:rPr>
              <w:t>Descriptive Statistics</w:t>
            </w:r>
          </w:p>
        </w:tc>
      </w:tr>
      <w:tr w:rsidR="00C373BA" w:rsidTr="00625FC7">
        <w:trPr>
          <w:cantSplit/>
        </w:trPr>
        <w:tc>
          <w:tcPr>
            <w:tcW w:w="2410" w:type="dxa"/>
            <w:tcBorders>
              <w:top w:val="nil"/>
              <w:bottom w:val="single" w:sz="4" w:space="0" w:color="auto"/>
            </w:tcBorders>
            <w:shd w:val="clear" w:color="auto" w:fill="FFFFFF"/>
            <w:vAlign w:val="bottom"/>
          </w:tcPr>
          <w:p w:rsidR="00EB7250" w:rsidRPr="00565F86" w:rsidRDefault="00EB7250" w:rsidP="005F20BA">
            <w:pPr>
              <w:widowControl/>
              <w:autoSpaceDE w:val="0"/>
              <w:autoSpaceDN w:val="0"/>
              <w:adjustRightInd w:val="0"/>
              <w:rPr>
                <w:rFonts w:ascii="Book Antiqua" w:eastAsia="Calibri" w:hAnsi="Book Antiqua"/>
                <w:szCs w:val="20"/>
                <w:lang w:eastAsia="id-ID"/>
              </w:rPr>
            </w:pPr>
          </w:p>
        </w:tc>
        <w:tc>
          <w:tcPr>
            <w:tcW w:w="567" w:type="dxa"/>
            <w:tcBorders>
              <w:top w:val="nil"/>
              <w:bottom w:val="single" w:sz="4" w:space="0" w:color="auto"/>
            </w:tcBorders>
            <w:shd w:val="clear" w:color="auto" w:fill="FFFFFF"/>
            <w:vAlign w:val="bottom"/>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N</w:t>
            </w:r>
          </w:p>
        </w:tc>
        <w:tc>
          <w:tcPr>
            <w:tcW w:w="850" w:type="dxa"/>
            <w:tcBorders>
              <w:top w:val="nil"/>
              <w:bottom w:val="single" w:sz="4" w:space="0" w:color="auto"/>
            </w:tcBorders>
            <w:shd w:val="clear" w:color="auto" w:fill="FFFFFF"/>
            <w:vAlign w:val="bottom"/>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Min</w:t>
            </w:r>
          </w:p>
        </w:tc>
        <w:tc>
          <w:tcPr>
            <w:tcW w:w="851" w:type="dxa"/>
            <w:tcBorders>
              <w:top w:val="nil"/>
              <w:bottom w:val="single" w:sz="4" w:space="0" w:color="auto"/>
            </w:tcBorders>
            <w:shd w:val="clear" w:color="auto" w:fill="FFFFFF"/>
            <w:vAlign w:val="bottom"/>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Max</w:t>
            </w:r>
          </w:p>
        </w:tc>
        <w:tc>
          <w:tcPr>
            <w:tcW w:w="850" w:type="dxa"/>
            <w:tcBorders>
              <w:top w:val="nil"/>
              <w:bottom w:val="single" w:sz="4" w:space="0" w:color="auto"/>
            </w:tcBorders>
            <w:shd w:val="clear" w:color="auto" w:fill="FFFFFF"/>
            <w:vAlign w:val="bottom"/>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Mean</w:t>
            </w:r>
          </w:p>
        </w:tc>
        <w:tc>
          <w:tcPr>
            <w:tcW w:w="1701" w:type="dxa"/>
            <w:tcBorders>
              <w:top w:val="nil"/>
              <w:bottom w:val="single" w:sz="4" w:space="0" w:color="auto"/>
            </w:tcBorders>
            <w:shd w:val="clear" w:color="auto" w:fill="FFFFFF"/>
            <w:vAlign w:val="bottom"/>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Std. Deviation</w:t>
            </w:r>
          </w:p>
        </w:tc>
      </w:tr>
      <w:tr w:rsidR="00C373BA" w:rsidTr="00625FC7">
        <w:trPr>
          <w:cantSplit/>
        </w:trPr>
        <w:tc>
          <w:tcPr>
            <w:tcW w:w="2410" w:type="dxa"/>
            <w:tcBorders>
              <w:top w:val="single" w:sz="4" w:space="0" w:color="auto"/>
            </w:tcBorders>
            <w:shd w:val="clear" w:color="auto" w:fill="auto"/>
          </w:tcPr>
          <w:p w:rsidR="00EB7250" w:rsidRPr="00565F86"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CR_</w:t>
            </w:r>
            <w:r>
              <w:rPr>
                <w:rFonts w:ascii="Book Antiqua" w:eastAsia="Calibri" w:hAnsi="Book Antiqua"/>
                <w:szCs w:val="20"/>
                <w:lang w:val="id-ID" w:eastAsia="id-ID"/>
              </w:rPr>
              <w:t>before</w:t>
            </w:r>
            <w:r w:rsidRPr="00565F86">
              <w:rPr>
                <w:rFonts w:ascii="Book Antiqua" w:eastAsia="Calibri" w:hAnsi="Book Antiqua"/>
                <w:szCs w:val="20"/>
                <w:lang w:eastAsia="id-ID"/>
              </w:rPr>
              <w:t xml:space="preserve"> COVID 19</w:t>
            </w:r>
          </w:p>
        </w:tc>
        <w:tc>
          <w:tcPr>
            <w:tcW w:w="567" w:type="dxa"/>
            <w:tcBorders>
              <w:top w:val="single" w:sz="4" w:space="0" w:color="auto"/>
            </w:tcBorders>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14</w:t>
            </w:r>
          </w:p>
        </w:tc>
        <w:tc>
          <w:tcPr>
            <w:tcW w:w="850" w:type="dxa"/>
            <w:tcBorders>
              <w:top w:val="single" w:sz="4" w:space="0" w:color="auto"/>
            </w:tcBorders>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0.193</w:t>
            </w:r>
          </w:p>
        </w:tc>
        <w:tc>
          <w:tcPr>
            <w:tcW w:w="851" w:type="dxa"/>
            <w:tcBorders>
              <w:top w:val="single" w:sz="4" w:space="0" w:color="auto"/>
            </w:tcBorders>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9.682</w:t>
            </w:r>
          </w:p>
        </w:tc>
        <w:tc>
          <w:tcPr>
            <w:tcW w:w="850" w:type="dxa"/>
            <w:tcBorders>
              <w:top w:val="single" w:sz="4" w:space="0" w:color="auto"/>
            </w:tcBorders>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2.531</w:t>
            </w:r>
          </w:p>
        </w:tc>
        <w:tc>
          <w:tcPr>
            <w:tcW w:w="1701" w:type="dxa"/>
            <w:tcBorders>
              <w:top w:val="single" w:sz="4" w:space="0" w:color="auto"/>
            </w:tcBorders>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2.531</w:t>
            </w:r>
          </w:p>
        </w:tc>
      </w:tr>
      <w:tr w:rsidR="00C373BA" w:rsidTr="00625FC7">
        <w:trPr>
          <w:cantSplit/>
        </w:trPr>
        <w:tc>
          <w:tcPr>
            <w:tcW w:w="2410" w:type="dxa"/>
            <w:shd w:val="clear" w:color="auto" w:fill="auto"/>
          </w:tcPr>
          <w:p w:rsidR="00EB7250" w:rsidRPr="00565F86"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CR_</w:t>
            </w:r>
            <w:r>
              <w:rPr>
                <w:rFonts w:ascii="Book Antiqua" w:eastAsia="Calibri" w:hAnsi="Book Antiqua"/>
                <w:szCs w:val="20"/>
                <w:lang w:val="id-ID" w:eastAsia="id-ID"/>
              </w:rPr>
              <w:t>during</w:t>
            </w:r>
            <w:r w:rsidRPr="00565F86">
              <w:rPr>
                <w:rFonts w:ascii="Book Antiqua" w:eastAsia="Calibri" w:hAnsi="Book Antiqua"/>
                <w:szCs w:val="20"/>
                <w:lang w:eastAsia="id-ID"/>
              </w:rPr>
              <w:t xml:space="preserve"> COVID 19</w:t>
            </w:r>
          </w:p>
        </w:tc>
        <w:tc>
          <w:tcPr>
            <w:tcW w:w="567"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14</w:t>
            </w:r>
          </w:p>
        </w:tc>
        <w:tc>
          <w:tcPr>
            <w:tcW w:w="850"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0.121</w:t>
            </w:r>
          </w:p>
        </w:tc>
        <w:tc>
          <w:tcPr>
            <w:tcW w:w="851"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13.402</w:t>
            </w:r>
          </w:p>
        </w:tc>
        <w:tc>
          <w:tcPr>
            <w:tcW w:w="850"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3.218</w:t>
            </w:r>
          </w:p>
        </w:tc>
        <w:tc>
          <w:tcPr>
            <w:tcW w:w="1701"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3.516</w:t>
            </w:r>
          </w:p>
        </w:tc>
      </w:tr>
      <w:tr w:rsidR="00C373BA" w:rsidTr="00625FC7">
        <w:trPr>
          <w:cantSplit/>
        </w:trPr>
        <w:tc>
          <w:tcPr>
            <w:tcW w:w="2410" w:type="dxa"/>
            <w:shd w:val="clear" w:color="auto" w:fill="auto"/>
          </w:tcPr>
          <w:p w:rsidR="00EB7250" w:rsidRPr="00565F86"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DER_</w:t>
            </w:r>
            <w:r>
              <w:rPr>
                <w:rFonts w:ascii="Book Antiqua" w:eastAsia="Calibri" w:hAnsi="Book Antiqua"/>
                <w:szCs w:val="20"/>
                <w:lang w:val="id-ID" w:eastAsia="id-ID"/>
              </w:rPr>
              <w:t>before</w:t>
            </w:r>
            <w:r w:rsidRPr="00565F86">
              <w:rPr>
                <w:rFonts w:ascii="Book Antiqua" w:eastAsia="Calibri" w:hAnsi="Book Antiqua"/>
                <w:szCs w:val="20"/>
                <w:lang w:eastAsia="id-ID"/>
              </w:rPr>
              <w:t xml:space="preserve"> COVID 19</w:t>
            </w:r>
          </w:p>
        </w:tc>
        <w:tc>
          <w:tcPr>
            <w:tcW w:w="567"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14</w:t>
            </w:r>
          </w:p>
        </w:tc>
        <w:tc>
          <w:tcPr>
            <w:tcW w:w="850"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0.120</w:t>
            </w:r>
          </w:p>
        </w:tc>
        <w:tc>
          <w:tcPr>
            <w:tcW w:w="851"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2.732</w:t>
            </w:r>
          </w:p>
        </w:tc>
        <w:tc>
          <w:tcPr>
            <w:tcW w:w="850"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0.564</w:t>
            </w:r>
          </w:p>
        </w:tc>
        <w:tc>
          <w:tcPr>
            <w:tcW w:w="1701"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1.585</w:t>
            </w:r>
          </w:p>
        </w:tc>
      </w:tr>
      <w:tr w:rsidR="00C373BA" w:rsidTr="00625FC7">
        <w:trPr>
          <w:cantSplit/>
        </w:trPr>
        <w:tc>
          <w:tcPr>
            <w:tcW w:w="2410" w:type="dxa"/>
            <w:shd w:val="clear" w:color="auto" w:fill="auto"/>
          </w:tcPr>
          <w:p w:rsidR="00EB7250" w:rsidRPr="00565F86"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lastRenderedPageBreak/>
              <w:t>DER_</w:t>
            </w:r>
            <w:r>
              <w:rPr>
                <w:rFonts w:ascii="Book Antiqua" w:eastAsia="Calibri" w:hAnsi="Book Antiqua"/>
                <w:szCs w:val="20"/>
                <w:lang w:val="id-ID" w:eastAsia="id-ID"/>
              </w:rPr>
              <w:t>during</w:t>
            </w:r>
            <w:r w:rsidRPr="00565F86">
              <w:rPr>
                <w:rFonts w:ascii="Book Antiqua" w:eastAsia="Calibri" w:hAnsi="Book Antiqua"/>
                <w:szCs w:val="20"/>
                <w:lang w:eastAsia="id-ID"/>
              </w:rPr>
              <w:t xml:space="preserve"> COVID 19</w:t>
            </w:r>
          </w:p>
        </w:tc>
        <w:tc>
          <w:tcPr>
            <w:tcW w:w="567"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14</w:t>
            </w:r>
          </w:p>
        </w:tc>
        <w:tc>
          <w:tcPr>
            <w:tcW w:w="850"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0.782</w:t>
            </w:r>
          </w:p>
        </w:tc>
        <w:tc>
          <w:tcPr>
            <w:tcW w:w="851"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4.829</w:t>
            </w:r>
          </w:p>
        </w:tc>
        <w:tc>
          <w:tcPr>
            <w:tcW w:w="850"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1.205</w:t>
            </w:r>
          </w:p>
        </w:tc>
        <w:tc>
          <w:tcPr>
            <w:tcW w:w="1701"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1.924</w:t>
            </w:r>
          </w:p>
        </w:tc>
      </w:tr>
      <w:tr w:rsidR="00C373BA" w:rsidTr="00625FC7">
        <w:trPr>
          <w:cantSplit/>
        </w:trPr>
        <w:tc>
          <w:tcPr>
            <w:tcW w:w="2410" w:type="dxa"/>
            <w:shd w:val="clear" w:color="auto" w:fill="auto"/>
          </w:tcPr>
          <w:p w:rsidR="00EB7250" w:rsidRPr="00565F86"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ROA_</w:t>
            </w:r>
            <w:r>
              <w:rPr>
                <w:rFonts w:ascii="Book Antiqua" w:eastAsia="Calibri" w:hAnsi="Book Antiqua"/>
                <w:szCs w:val="20"/>
                <w:lang w:val="id-ID" w:eastAsia="id-ID"/>
              </w:rPr>
              <w:t>before</w:t>
            </w:r>
            <w:r w:rsidRPr="00565F86">
              <w:rPr>
                <w:rFonts w:ascii="Book Antiqua" w:eastAsia="Calibri" w:hAnsi="Book Antiqua"/>
                <w:szCs w:val="20"/>
                <w:lang w:eastAsia="id-ID"/>
              </w:rPr>
              <w:t xml:space="preserve"> COVID 19</w:t>
            </w:r>
          </w:p>
        </w:tc>
        <w:tc>
          <w:tcPr>
            <w:tcW w:w="567"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14</w:t>
            </w:r>
          </w:p>
        </w:tc>
        <w:tc>
          <w:tcPr>
            <w:tcW w:w="850"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-0.034</w:t>
            </w:r>
          </w:p>
        </w:tc>
        <w:tc>
          <w:tcPr>
            <w:tcW w:w="851"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0.036</w:t>
            </w:r>
          </w:p>
        </w:tc>
        <w:tc>
          <w:tcPr>
            <w:tcW w:w="850"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0.011</w:t>
            </w:r>
          </w:p>
        </w:tc>
        <w:tc>
          <w:tcPr>
            <w:tcW w:w="1701"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0.017</w:t>
            </w:r>
          </w:p>
        </w:tc>
      </w:tr>
      <w:tr w:rsidR="00C373BA" w:rsidTr="00625FC7">
        <w:trPr>
          <w:cantSplit/>
        </w:trPr>
        <w:tc>
          <w:tcPr>
            <w:tcW w:w="2410" w:type="dxa"/>
            <w:shd w:val="clear" w:color="auto" w:fill="auto"/>
          </w:tcPr>
          <w:p w:rsidR="00EB7250" w:rsidRPr="00565F86"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ROA_</w:t>
            </w:r>
            <w:r>
              <w:rPr>
                <w:rFonts w:ascii="Book Antiqua" w:eastAsia="Calibri" w:hAnsi="Book Antiqua"/>
                <w:szCs w:val="20"/>
                <w:lang w:val="id-ID" w:eastAsia="id-ID"/>
              </w:rPr>
              <w:t>during</w:t>
            </w:r>
            <w:r w:rsidRPr="00565F86">
              <w:rPr>
                <w:rFonts w:ascii="Book Antiqua" w:eastAsia="Calibri" w:hAnsi="Book Antiqua"/>
                <w:szCs w:val="20"/>
                <w:lang w:eastAsia="id-ID"/>
              </w:rPr>
              <w:t xml:space="preserve"> COVID 19</w:t>
            </w:r>
          </w:p>
        </w:tc>
        <w:tc>
          <w:tcPr>
            <w:tcW w:w="567"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14</w:t>
            </w:r>
          </w:p>
        </w:tc>
        <w:tc>
          <w:tcPr>
            <w:tcW w:w="850"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-0.158</w:t>
            </w:r>
          </w:p>
        </w:tc>
        <w:tc>
          <w:tcPr>
            <w:tcW w:w="851"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0.035</w:t>
            </w:r>
          </w:p>
        </w:tc>
        <w:tc>
          <w:tcPr>
            <w:tcW w:w="850"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-0.019</w:t>
            </w:r>
          </w:p>
        </w:tc>
        <w:tc>
          <w:tcPr>
            <w:tcW w:w="1701"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0.052</w:t>
            </w:r>
          </w:p>
        </w:tc>
      </w:tr>
      <w:tr w:rsidR="00C373BA" w:rsidTr="00625FC7">
        <w:trPr>
          <w:cantSplit/>
        </w:trPr>
        <w:tc>
          <w:tcPr>
            <w:tcW w:w="2410" w:type="dxa"/>
            <w:shd w:val="clear" w:color="auto" w:fill="auto"/>
          </w:tcPr>
          <w:p w:rsidR="00EB7250" w:rsidRPr="00565F86"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RTO_</w:t>
            </w:r>
            <w:r>
              <w:rPr>
                <w:rFonts w:ascii="Book Antiqua" w:eastAsia="Calibri" w:hAnsi="Book Antiqua"/>
                <w:szCs w:val="20"/>
                <w:lang w:val="id-ID" w:eastAsia="id-ID"/>
              </w:rPr>
              <w:t>before</w:t>
            </w:r>
            <w:r w:rsidRPr="00565F86">
              <w:rPr>
                <w:rFonts w:ascii="Book Antiqua" w:eastAsia="Calibri" w:hAnsi="Book Antiqua"/>
                <w:szCs w:val="20"/>
                <w:lang w:eastAsia="id-ID"/>
              </w:rPr>
              <w:t xml:space="preserve"> COVID 19</w:t>
            </w:r>
          </w:p>
        </w:tc>
        <w:tc>
          <w:tcPr>
            <w:tcW w:w="567"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14</w:t>
            </w:r>
          </w:p>
        </w:tc>
        <w:tc>
          <w:tcPr>
            <w:tcW w:w="850"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0.365</w:t>
            </w:r>
          </w:p>
        </w:tc>
        <w:tc>
          <w:tcPr>
            <w:tcW w:w="851"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9.132</w:t>
            </w:r>
          </w:p>
        </w:tc>
        <w:tc>
          <w:tcPr>
            <w:tcW w:w="850"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2.314</w:t>
            </w:r>
          </w:p>
        </w:tc>
        <w:tc>
          <w:tcPr>
            <w:tcW w:w="1701"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2.321</w:t>
            </w:r>
          </w:p>
        </w:tc>
      </w:tr>
      <w:tr w:rsidR="00C373BA" w:rsidTr="00625FC7">
        <w:trPr>
          <w:cantSplit/>
        </w:trPr>
        <w:tc>
          <w:tcPr>
            <w:tcW w:w="2410" w:type="dxa"/>
            <w:shd w:val="clear" w:color="auto" w:fill="auto"/>
          </w:tcPr>
          <w:p w:rsidR="00EB7250" w:rsidRPr="00565F86"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RTO_</w:t>
            </w:r>
            <w:r>
              <w:rPr>
                <w:rFonts w:ascii="Book Antiqua" w:eastAsia="Calibri" w:hAnsi="Book Antiqua"/>
                <w:szCs w:val="20"/>
                <w:lang w:val="id-ID" w:eastAsia="id-ID"/>
              </w:rPr>
              <w:t>during</w:t>
            </w:r>
            <w:r w:rsidRPr="00565F86">
              <w:rPr>
                <w:rFonts w:ascii="Book Antiqua" w:eastAsia="Calibri" w:hAnsi="Book Antiqua"/>
                <w:szCs w:val="20"/>
                <w:lang w:eastAsia="id-ID"/>
              </w:rPr>
              <w:t xml:space="preserve"> COVID 19</w:t>
            </w:r>
          </w:p>
        </w:tc>
        <w:tc>
          <w:tcPr>
            <w:tcW w:w="567"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14</w:t>
            </w:r>
          </w:p>
        </w:tc>
        <w:tc>
          <w:tcPr>
            <w:tcW w:w="850"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0.001</w:t>
            </w:r>
          </w:p>
        </w:tc>
        <w:tc>
          <w:tcPr>
            <w:tcW w:w="851"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6.902</w:t>
            </w:r>
          </w:p>
        </w:tc>
        <w:tc>
          <w:tcPr>
            <w:tcW w:w="850"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3.331</w:t>
            </w:r>
          </w:p>
        </w:tc>
        <w:tc>
          <w:tcPr>
            <w:tcW w:w="1701" w:type="dxa"/>
            <w:shd w:val="clear" w:color="auto" w:fill="FFFFFF"/>
          </w:tcPr>
          <w:p w:rsidR="00EB7250"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2.2811</w:t>
            </w:r>
          </w:p>
        </w:tc>
      </w:tr>
    </w:tbl>
    <w:p w:rsidR="00565F86" w:rsidRDefault="00565F86" w:rsidP="003419A2">
      <w:pPr>
        <w:pStyle w:val="Ventura-Content"/>
        <w:ind w:firstLine="0"/>
        <w:rPr>
          <w:color w:val="000000"/>
          <w:szCs w:val="20"/>
          <w:lang w:val="id-ID"/>
        </w:rPr>
      </w:pPr>
    </w:p>
    <w:p w:rsidR="00EB7250" w:rsidRDefault="00E90A84" w:rsidP="00565F86">
      <w:pPr>
        <w:pStyle w:val="Ventura-Content"/>
        <w:ind w:firstLine="709"/>
        <w:rPr>
          <w:color w:val="000000"/>
          <w:szCs w:val="20"/>
          <w:lang w:val="id-ID"/>
        </w:rPr>
      </w:pPr>
      <w:r w:rsidRPr="00565F86">
        <w:rPr>
          <w:color w:val="000000"/>
          <w:szCs w:val="20"/>
          <w:lang w:val="id-ID"/>
        </w:rPr>
        <w:t xml:space="preserve">Table 10 shows that </w:t>
      </w:r>
      <w:r w:rsidR="00625FC7">
        <w:rPr>
          <w:color w:val="000000"/>
          <w:szCs w:val="20"/>
        </w:rPr>
        <w:t>fourteen</w:t>
      </w:r>
      <w:r w:rsidRPr="00565F86">
        <w:rPr>
          <w:color w:val="000000"/>
          <w:szCs w:val="20"/>
          <w:lang w:val="id-ID"/>
        </w:rPr>
        <w:t xml:space="preserve"> companies in the Miscellaneous Industry used as samples experienced an increase in the current ratio's average value from 2.531 to 3.218. The average value of DER also increased from 0.564 to 1.205. The average value of ROA decreased from 0.011 to -0.019, while the average value of receivable turnover increased from 2.314 to 3.331. </w:t>
      </w:r>
    </w:p>
    <w:p w:rsidR="00565F86" w:rsidRDefault="00565F86" w:rsidP="00565F86">
      <w:pPr>
        <w:pStyle w:val="Ventura-Content"/>
        <w:ind w:firstLine="0"/>
        <w:jc w:val="center"/>
        <w:rPr>
          <w:color w:val="000000"/>
          <w:szCs w:val="20"/>
          <w:lang w:val="id-ID"/>
        </w:rPr>
      </w:pPr>
    </w:p>
    <w:p w:rsidR="00625FC7" w:rsidRDefault="00E90A84" w:rsidP="00565F86">
      <w:pPr>
        <w:pStyle w:val="Ventura-Content"/>
        <w:ind w:firstLine="0"/>
        <w:jc w:val="center"/>
        <w:rPr>
          <w:color w:val="000000"/>
          <w:szCs w:val="20"/>
        </w:rPr>
      </w:pPr>
      <w:r w:rsidRPr="00256EEC">
        <w:rPr>
          <w:color w:val="000000"/>
          <w:szCs w:val="20"/>
        </w:rPr>
        <w:t>Table 11</w:t>
      </w:r>
      <w:r>
        <w:rPr>
          <w:color w:val="000000"/>
          <w:szCs w:val="20"/>
        </w:rPr>
        <w:t xml:space="preserve">. </w:t>
      </w:r>
      <w:r w:rsidRPr="00256EEC">
        <w:rPr>
          <w:color w:val="000000"/>
          <w:szCs w:val="20"/>
        </w:rPr>
        <w:t xml:space="preserve">Changes in Average Value of Current Ratio, DER, ROA, and </w:t>
      </w:r>
    </w:p>
    <w:p w:rsidR="003419A2" w:rsidRPr="00A15CBD" w:rsidRDefault="00E90A84" w:rsidP="00565F86">
      <w:pPr>
        <w:pStyle w:val="Ventura-Content"/>
        <w:ind w:firstLine="0"/>
        <w:jc w:val="center"/>
        <w:rPr>
          <w:color w:val="000000"/>
          <w:szCs w:val="20"/>
          <w:lang w:val="id-ID"/>
        </w:rPr>
      </w:pPr>
      <w:r w:rsidRPr="00256EEC">
        <w:rPr>
          <w:color w:val="000000"/>
          <w:szCs w:val="20"/>
        </w:rPr>
        <w:t xml:space="preserve">Receivable Turnover </w:t>
      </w:r>
      <w:r>
        <w:rPr>
          <w:color w:val="000000"/>
          <w:szCs w:val="20"/>
          <w:lang w:val="id-ID"/>
        </w:rPr>
        <w:t>in</w:t>
      </w:r>
      <w:r w:rsidR="00565F86">
        <w:rPr>
          <w:color w:val="000000"/>
          <w:szCs w:val="20"/>
        </w:rPr>
        <w:t xml:space="preserve"> </w:t>
      </w:r>
      <w:r w:rsidR="00A15CBD">
        <w:rPr>
          <w:color w:val="000000"/>
          <w:szCs w:val="20"/>
          <w:lang w:val="id-ID"/>
        </w:rPr>
        <w:t xml:space="preserve">the Sector of </w:t>
      </w:r>
      <w:r w:rsidR="00A15CBD">
        <w:rPr>
          <w:color w:val="000000"/>
          <w:szCs w:val="20"/>
        </w:rPr>
        <w:t>Consumer Goods</w:t>
      </w:r>
    </w:p>
    <w:tbl>
      <w:tblPr>
        <w:tblW w:w="722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36"/>
        <w:gridCol w:w="567"/>
        <w:gridCol w:w="850"/>
        <w:gridCol w:w="886"/>
        <w:gridCol w:w="815"/>
        <w:gridCol w:w="1571"/>
      </w:tblGrid>
      <w:tr w:rsidR="00C373BA" w:rsidTr="00625FC7">
        <w:trPr>
          <w:cantSplit/>
          <w:jc w:val="center"/>
        </w:trPr>
        <w:tc>
          <w:tcPr>
            <w:tcW w:w="7225" w:type="dxa"/>
            <w:gridSpan w:val="6"/>
            <w:tcBorders>
              <w:bottom w:val="nil"/>
            </w:tcBorders>
            <w:shd w:val="clear" w:color="auto" w:fill="FFFFFF"/>
            <w:vAlign w:val="center"/>
          </w:tcPr>
          <w:p w:rsidR="00565F86" w:rsidRPr="00565F86" w:rsidRDefault="00E90A84" w:rsidP="005F20BA">
            <w:pPr>
              <w:widowControl/>
              <w:autoSpaceDE w:val="0"/>
              <w:autoSpaceDN w:val="0"/>
              <w:adjustRightInd w:val="0"/>
              <w:ind w:left="60" w:right="60"/>
              <w:jc w:val="center"/>
              <w:rPr>
                <w:rFonts w:ascii="Book Antiqua" w:eastAsia="Calibri" w:hAnsi="Book Antiqua"/>
                <w:szCs w:val="20"/>
                <w:lang w:eastAsia="id-ID"/>
              </w:rPr>
            </w:pPr>
            <w:r w:rsidRPr="00565F86">
              <w:rPr>
                <w:rFonts w:ascii="Book Antiqua" w:eastAsia="Calibri" w:hAnsi="Book Antiqua"/>
                <w:b/>
                <w:bCs/>
                <w:szCs w:val="20"/>
                <w:lang w:eastAsia="id-ID"/>
              </w:rPr>
              <w:t>Descriptive Statistics</w:t>
            </w:r>
          </w:p>
        </w:tc>
      </w:tr>
      <w:tr w:rsidR="00C373BA" w:rsidTr="00625FC7">
        <w:trPr>
          <w:cantSplit/>
          <w:jc w:val="center"/>
        </w:trPr>
        <w:tc>
          <w:tcPr>
            <w:tcW w:w="2536" w:type="dxa"/>
            <w:tcBorders>
              <w:top w:val="nil"/>
              <w:bottom w:val="single" w:sz="4" w:space="0" w:color="auto"/>
            </w:tcBorders>
            <w:shd w:val="clear" w:color="auto" w:fill="FFFFFF"/>
            <w:vAlign w:val="bottom"/>
          </w:tcPr>
          <w:p w:rsidR="00565F86" w:rsidRPr="00565F86" w:rsidRDefault="00565F86" w:rsidP="005F20BA">
            <w:pPr>
              <w:widowControl/>
              <w:autoSpaceDE w:val="0"/>
              <w:autoSpaceDN w:val="0"/>
              <w:adjustRightInd w:val="0"/>
              <w:rPr>
                <w:rFonts w:ascii="Book Antiqua" w:eastAsia="Calibri" w:hAnsi="Book Antiqua"/>
                <w:szCs w:val="20"/>
                <w:lang w:eastAsia="id-ID"/>
              </w:rPr>
            </w:pPr>
          </w:p>
        </w:tc>
        <w:tc>
          <w:tcPr>
            <w:tcW w:w="567" w:type="dxa"/>
            <w:tcBorders>
              <w:top w:val="nil"/>
              <w:bottom w:val="single" w:sz="4" w:space="0" w:color="auto"/>
            </w:tcBorders>
            <w:shd w:val="clear" w:color="auto" w:fill="FFFFFF"/>
            <w:vAlign w:val="bottom"/>
          </w:tcPr>
          <w:p w:rsidR="00565F86"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N</w:t>
            </w:r>
          </w:p>
        </w:tc>
        <w:tc>
          <w:tcPr>
            <w:tcW w:w="850" w:type="dxa"/>
            <w:tcBorders>
              <w:top w:val="nil"/>
              <w:bottom w:val="single" w:sz="4" w:space="0" w:color="auto"/>
            </w:tcBorders>
            <w:shd w:val="clear" w:color="auto" w:fill="FFFFFF"/>
            <w:vAlign w:val="bottom"/>
          </w:tcPr>
          <w:p w:rsidR="00565F86"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Min</w:t>
            </w:r>
          </w:p>
        </w:tc>
        <w:tc>
          <w:tcPr>
            <w:tcW w:w="886" w:type="dxa"/>
            <w:tcBorders>
              <w:top w:val="nil"/>
              <w:bottom w:val="single" w:sz="4" w:space="0" w:color="auto"/>
            </w:tcBorders>
            <w:shd w:val="clear" w:color="auto" w:fill="FFFFFF"/>
            <w:vAlign w:val="bottom"/>
          </w:tcPr>
          <w:p w:rsidR="00565F86"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Max</w:t>
            </w:r>
          </w:p>
        </w:tc>
        <w:tc>
          <w:tcPr>
            <w:tcW w:w="815" w:type="dxa"/>
            <w:tcBorders>
              <w:top w:val="nil"/>
              <w:bottom w:val="single" w:sz="4" w:space="0" w:color="auto"/>
            </w:tcBorders>
            <w:shd w:val="clear" w:color="auto" w:fill="FFFFFF"/>
            <w:vAlign w:val="bottom"/>
          </w:tcPr>
          <w:p w:rsidR="00565F86"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Mean</w:t>
            </w:r>
          </w:p>
        </w:tc>
        <w:tc>
          <w:tcPr>
            <w:tcW w:w="1571" w:type="dxa"/>
            <w:tcBorders>
              <w:top w:val="nil"/>
              <w:bottom w:val="single" w:sz="4" w:space="0" w:color="auto"/>
            </w:tcBorders>
            <w:shd w:val="clear" w:color="auto" w:fill="FFFFFF"/>
            <w:vAlign w:val="bottom"/>
          </w:tcPr>
          <w:p w:rsidR="00565F86"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Std. Deviation</w:t>
            </w:r>
          </w:p>
        </w:tc>
      </w:tr>
      <w:tr w:rsidR="00C373BA" w:rsidTr="00625FC7">
        <w:trPr>
          <w:cantSplit/>
          <w:jc w:val="center"/>
        </w:trPr>
        <w:tc>
          <w:tcPr>
            <w:tcW w:w="2536" w:type="dxa"/>
            <w:tcBorders>
              <w:top w:val="single" w:sz="4" w:space="0" w:color="auto"/>
            </w:tcBorders>
            <w:shd w:val="clear" w:color="auto" w:fill="auto"/>
          </w:tcPr>
          <w:p w:rsidR="00625FC7" w:rsidRPr="00565F86" w:rsidRDefault="00E90A84" w:rsidP="00625FC7">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CR_</w:t>
            </w:r>
            <w:r>
              <w:rPr>
                <w:rFonts w:ascii="Book Antiqua" w:eastAsia="Calibri" w:hAnsi="Book Antiqua"/>
                <w:szCs w:val="20"/>
                <w:lang w:val="id-ID" w:eastAsia="id-ID"/>
              </w:rPr>
              <w:t>before</w:t>
            </w:r>
            <w:r w:rsidRPr="00565F86">
              <w:rPr>
                <w:rFonts w:ascii="Book Antiqua" w:eastAsia="Calibri" w:hAnsi="Book Antiqua"/>
                <w:szCs w:val="20"/>
                <w:lang w:eastAsia="id-ID"/>
              </w:rPr>
              <w:t xml:space="preserve"> COVID 19</w:t>
            </w:r>
          </w:p>
        </w:tc>
        <w:tc>
          <w:tcPr>
            <w:tcW w:w="567" w:type="dxa"/>
            <w:tcBorders>
              <w:top w:val="single" w:sz="4" w:space="0" w:color="auto"/>
            </w:tcBorders>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20</w:t>
            </w:r>
          </w:p>
        </w:tc>
        <w:tc>
          <w:tcPr>
            <w:tcW w:w="850" w:type="dxa"/>
            <w:tcBorders>
              <w:top w:val="single" w:sz="4" w:space="0" w:color="auto"/>
            </w:tcBorders>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0.767</w:t>
            </w:r>
          </w:p>
        </w:tc>
        <w:tc>
          <w:tcPr>
            <w:tcW w:w="886" w:type="dxa"/>
            <w:tcBorders>
              <w:top w:val="single" w:sz="4" w:space="0" w:color="auto"/>
            </w:tcBorders>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6.765</w:t>
            </w:r>
          </w:p>
        </w:tc>
        <w:tc>
          <w:tcPr>
            <w:tcW w:w="815" w:type="dxa"/>
            <w:tcBorders>
              <w:top w:val="single" w:sz="4" w:space="0" w:color="auto"/>
            </w:tcBorders>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3.154</w:t>
            </w:r>
          </w:p>
        </w:tc>
        <w:tc>
          <w:tcPr>
            <w:tcW w:w="1571" w:type="dxa"/>
            <w:tcBorders>
              <w:top w:val="single" w:sz="4" w:space="0" w:color="auto"/>
            </w:tcBorders>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1.912</w:t>
            </w:r>
          </w:p>
        </w:tc>
      </w:tr>
      <w:tr w:rsidR="00C373BA" w:rsidTr="00625FC7">
        <w:trPr>
          <w:cantSplit/>
          <w:jc w:val="center"/>
        </w:trPr>
        <w:tc>
          <w:tcPr>
            <w:tcW w:w="2536" w:type="dxa"/>
            <w:shd w:val="clear" w:color="auto" w:fill="auto"/>
          </w:tcPr>
          <w:p w:rsidR="00625FC7" w:rsidRPr="00565F86" w:rsidRDefault="00E90A84" w:rsidP="00625FC7">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CR_</w:t>
            </w:r>
            <w:r>
              <w:rPr>
                <w:rFonts w:ascii="Book Antiqua" w:eastAsia="Calibri" w:hAnsi="Book Antiqua"/>
                <w:szCs w:val="20"/>
                <w:lang w:val="id-ID" w:eastAsia="id-ID"/>
              </w:rPr>
              <w:t>during</w:t>
            </w:r>
            <w:r w:rsidRPr="00565F86">
              <w:rPr>
                <w:rFonts w:ascii="Book Antiqua" w:eastAsia="Calibri" w:hAnsi="Book Antiqua"/>
                <w:szCs w:val="20"/>
                <w:lang w:eastAsia="id-ID"/>
              </w:rPr>
              <w:t xml:space="preserve"> COVID 19</w:t>
            </w:r>
          </w:p>
        </w:tc>
        <w:tc>
          <w:tcPr>
            <w:tcW w:w="567"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20</w:t>
            </w:r>
          </w:p>
        </w:tc>
        <w:tc>
          <w:tcPr>
            <w:tcW w:w="850"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0.799</w:t>
            </w:r>
          </w:p>
        </w:tc>
        <w:tc>
          <w:tcPr>
            <w:tcW w:w="886"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14.135</w:t>
            </w:r>
          </w:p>
        </w:tc>
        <w:tc>
          <w:tcPr>
            <w:tcW w:w="815"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4.504</w:t>
            </w:r>
          </w:p>
        </w:tc>
        <w:tc>
          <w:tcPr>
            <w:tcW w:w="1571"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4.152</w:t>
            </w:r>
          </w:p>
        </w:tc>
      </w:tr>
      <w:tr w:rsidR="00C373BA" w:rsidTr="00625FC7">
        <w:trPr>
          <w:cantSplit/>
          <w:jc w:val="center"/>
        </w:trPr>
        <w:tc>
          <w:tcPr>
            <w:tcW w:w="2536" w:type="dxa"/>
            <w:shd w:val="clear" w:color="auto" w:fill="auto"/>
          </w:tcPr>
          <w:p w:rsidR="00625FC7" w:rsidRPr="00565F86" w:rsidRDefault="00E90A84" w:rsidP="00625FC7">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DER_</w:t>
            </w:r>
            <w:r>
              <w:rPr>
                <w:rFonts w:ascii="Book Antiqua" w:eastAsia="Calibri" w:hAnsi="Book Antiqua"/>
                <w:szCs w:val="20"/>
                <w:lang w:val="id-ID" w:eastAsia="id-ID"/>
              </w:rPr>
              <w:t>before</w:t>
            </w:r>
            <w:r w:rsidRPr="00565F86">
              <w:rPr>
                <w:rFonts w:ascii="Book Antiqua" w:eastAsia="Calibri" w:hAnsi="Book Antiqua"/>
                <w:szCs w:val="20"/>
                <w:lang w:eastAsia="id-ID"/>
              </w:rPr>
              <w:t xml:space="preserve"> COVID 19</w:t>
            </w:r>
          </w:p>
        </w:tc>
        <w:tc>
          <w:tcPr>
            <w:tcW w:w="567"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20</w:t>
            </w:r>
          </w:p>
        </w:tc>
        <w:tc>
          <w:tcPr>
            <w:tcW w:w="850"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0.121</w:t>
            </w:r>
          </w:p>
        </w:tc>
        <w:tc>
          <w:tcPr>
            <w:tcW w:w="886"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3.299</w:t>
            </w:r>
          </w:p>
        </w:tc>
        <w:tc>
          <w:tcPr>
            <w:tcW w:w="815"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0.826</w:t>
            </w:r>
          </w:p>
        </w:tc>
        <w:tc>
          <w:tcPr>
            <w:tcW w:w="1571"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0.933</w:t>
            </w:r>
          </w:p>
        </w:tc>
      </w:tr>
      <w:tr w:rsidR="00C373BA" w:rsidTr="00625FC7">
        <w:trPr>
          <w:cantSplit/>
          <w:jc w:val="center"/>
        </w:trPr>
        <w:tc>
          <w:tcPr>
            <w:tcW w:w="2536" w:type="dxa"/>
            <w:shd w:val="clear" w:color="auto" w:fill="auto"/>
          </w:tcPr>
          <w:p w:rsidR="00625FC7" w:rsidRPr="00565F86" w:rsidRDefault="00E90A84" w:rsidP="00625FC7">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DER_</w:t>
            </w:r>
            <w:r>
              <w:rPr>
                <w:rFonts w:ascii="Book Antiqua" w:eastAsia="Calibri" w:hAnsi="Book Antiqua"/>
                <w:szCs w:val="20"/>
                <w:lang w:val="id-ID" w:eastAsia="id-ID"/>
              </w:rPr>
              <w:t>during</w:t>
            </w:r>
            <w:r w:rsidRPr="00565F86">
              <w:rPr>
                <w:rFonts w:ascii="Book Antiqua" w:eastAsia="Calibri" w:hAnsi="Book Antiqua"/>
                <w:szCs w:val="20"/>
                <w:lang w:eastAsia="id-ID"/>
              </w:rPr>
              <w:t xml:space="preserve"> COVID 19</w:t>
            </w:r>
          </w:p>
        </w:tc>
        <w:tc>
          <w:tcPr>
            <w:tcW w:w="567"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20</w:t>
            </w:r>
          </w:p>
        </w:tc>
        <w:tc>
          <w:tcPr>
            <w:tcW w:w="850"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0.119</w:t>
            </w:r>
          </w:p>
        </w:tc>
        <w:tc>
          <w:tcPr>
            <w:tcW w:w="886"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1.959</w:t>
            </w:r>
          </w:p>
        </w:tc>
        <w:tc>
          <w:tcPr>
            <w:tcW w:w="815"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0.622</w:t>
            </w:r>
          </w:p>
        </w:tc>
        <w:tc>
          <w:tcPr>
            <w:tcW w:w="1571"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0.568</w:t>
            </w:r>
          </w:p>
        </w:tc>
      </w:tr>
      <w:tr w:rsidR="00C373BA" w:rsidTr="00625FC7">
        <w:trPr>
          <w:cantSplit/>
          <w:jc w:val="center"/>
        </w:trPr>
        <w:tc>
          <w:tcPr>
            <w:tcW w:w="2536" w:type="dxa"/>
            <w:shd w:val="clear" w:color="auto" w:fill="auto"/>
          </w:tcPr>
          <w:p w:rsidR="00625FC7" w:rsidRPr="00565F86" w:rsidRDefault="00E90A84" w:rsidP="00625FC7">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ROA_</w:t>
            </w:r>
            <w:r>
              <w:rPr>
                <w:rFonts w:ascii="Book Antiqua" w:eastAsia="Calibri" w:hAnsi="Book Antiqua"/>
                <w:szCs w:val="20"/>
                <w:lang w:val="id-ID" w:eastAsia="id-ID"/>
              </w:rPr>
              <w:t>before</w:t>
            </w:r>
            <w:r w:rsidRPr="00565F86">
              <w:rPr>
                <w:rFonts w:ascii="Book Antiqua" w:eastAsia="Calibri" w:hAnsi="Book Antiqua"/>
                <w:szCs w:val="20"/>
                <w:lang w:eastAsia="id-ID"/>
              </w:rPr>
              <w:t xml:space="preserve"> COVID 19</w:t>
            </w:r>
          </w:p>
        </w:tc>
        <w:tc>
          <w:tcPr>
            <w:tcW w:w="567"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20</w:t>
            </w:r>
          </w:p>
        </w:tc>
        <w:tc>
          <w:tcPr>
            <w:tcW w:w="850"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-0.013</w:t>
            </w:r>
          </w:p>
        </w:tc>
        <w:tc>
          <w:tcPr>
            <w:tcW w:w="886"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0.060</w:t>
            </w:r>
          </w:p>
        </w:tc>
        <w:tc>
          <w:tcPr>
            <w:tcW w:w="815"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0.018</w:t>
            </w:r>
          </w:p>
        </w:tc>
        <w:tc>
          <w:tcPr>
            <w:tcW w:w="1571"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0.024</w:t>
            </w:r>
          </w:p>
        </w:tc>
      </w:tr>
      <w:tr w:rsidR="00C373BA" w:rsidTr="00625FC7">
        <w:trPr>
          <w:cantSplit/>
          <w:jc w:val="center"/>
        </w:trPr>
        <w:tc>
          <w:tcPr>
            <w:tcW w:w="2536" w:type="dxa"/>
            <w:shd w:val="clear" w:color="auto" w:fill="auto"/>
          </w:tcPr>
          <w:p w:rsidR="00625FC7" w:rsidRPr="00565F86" w:rsidRDefault="00E90A84" w:rsidP="00625FC7">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ROA_</w:t>
            </w:r>
            <w:r>
              <w:rPr>
                <w:rFonts w:ascii="Book Antiqua" w:eastAsia="Calibri" w:hAnsi="Book Antiqua"/>
                <w:szCs w:val="20"/>
                <w:lang w:val="id-ID" w:eastAsia="id-ID"/>
              </w:rPr>
              <w:t>during</w:t>
            </w:r>
            <w:r w:rsidRPr="00565F86">
              <w:rPr>
                <w:rFonts w:ascii="Book Antiqua" w:eastAsia="Calibri" w:hAnsi="Book Antiqua"/>
                <w:szCs w:val="20"/>
                <w:lang w:eastAsia="id-ID"/>
              </w:rPr>
              <w:t xml:space="preserve"> COVID 19</w:t>
            </w:r>
          </w:p>
        </w:tc>
        <w:tc>
          <w:tcPr>
            <w:tcW w:w="567"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20</w:t>
            </w:r>
          </w:p>
        </w:tc>
        <w:tc>
          <w:tcPr>
            <w:tcW w:w="850"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-0.025</w:t>
            </w:r>
          </w:p>
        </w:tc>
        <w:tc>
          <w:tcPr>
            <w:tcW w:w="886"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2.269</w:t>
            </w:r>
          </w:p>
        </w:tc>
        <w:tc>
          <w:tcPr>
            <w:tcW w:w="815"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0.211</w:t>
            </w:r>
          </w:p>
        </w:tc>
        <w:tc>
          <w:tcPr>
            <w:tcW w:w="1571"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0.624</w:t>
            </w:r>
          </w:p>
        </w:tc>
      </w:tr>
      <w:tr w:rsidR="00C373BA" w:rsidTr="00625FC7">
        <w:trPr>
          <w:cantSplit/>
          <w:jc w:val="center"/>
        </w:trPr>
        <w:tc>
          <w:tcPr>
            <w:tcW w:w="2536" w:type="dxa"/>
            <w:shd w:val="clear" w:color="auto" w:fill="auto"/>
          </w:tcPr>
          <w:p w:rsidR="00625FC7" w:rsidRPr="00565F86" w:rsidRDefault="00E90A84" w:rsidP="00625FC7">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RTO_</w:t>
            </w:r>
            <w:r>
              <w:rPr>
                <w:rFonts w:ascii="Book Antiqua" w:eastAsia="Calibri" w:hAnsi="Book Antiqua"/>
                <w:szCs w:val="20"/>
                <w:lang w:val="id-ID" w:eastAsia="id-ID"/>
              </w:rPr>
              <w:t>before</w:t>
            </w:r>
            <w:r w:rsidRPr="00565F86">
              <w:rPr>
                <w:rFonts w:ascii="Book Antiqua" w:eastAsia="Calibri" w:hAnsi="Book Antiqua"/>
                <w:szCs w:val="20"/>
                <w:lang w:eastAsia="id-ID"/>
              </w:rPr>
              <w:t xml:space="preserve"> COVID 19</w:t>
            </w:r>
          </w:p>
        </w:tc>
        <w:tc>
          <w:tcPr>
            <w:tcW w:w="567"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20</w:t>
            </w:r>
          </w:p>
        </w:tc>
        <w:tc>
          <w:tcPr>
            <w:tcW w:w="850"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0.334</w:t>
            </w:r>
          </w:p>
        </w:tc>
        <w:tc>
          <w:tcPr>
            <w:tcW w:w="886"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10.667</w:t>
            </w:r>
          </w:p>
        </w:tc>
        <w:tc>
          <w:tcPr>
            <w:tcW w:w="815"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2.882</w:t>
            </w:r>
          </w:p>
        </w:tc>
        <w:tc>
          <w:tcPr>
            <w:tcW w:w="1571"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3.569</w:t>
            </w:r>
          </w:p>
        </w:tc>
      </w:tr>
      <w:tr w:rsidR="00C373BA" w:rsidTr="00625FC7">
        <w:trPr>
          <w:cantSplit/>
          <w:jc w:val="center"/>
        </w:trPr>
        <w:tc>
          <w:tcPr>
            <w:tcW w:w="2536" w:type="dxa"/>
            <w:shd w:val="clear" w:color="auto" w:fill="auto"/>
          </w:tcPr>
          <w:p w:rsidR="00625FC7" w:rsidRPr="00565F86" w:rsidRDefault="00E90A84" w:rsidP="00625FC7">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RTO_</w:t>
            </w:r>
            <w:r>
              <w:rPr>
                <w:rFonts w:ascii="Book Antiqua" w:eastAsia="Calibri" w:hAnsi="Book Antiqua"/>
                <w:szCs w:val="20"/>
                <w:lang w:val="id-ID" w:eastAsia="id-ID"/>
              </w:rPr>
              <w:t>during</w:t>
            </w:r>
            <w:r w:rsidRPr="00565F86">
              <w:rPr>
                <w:rFonts w:ascii="Book Antiqua" w:eastAsia="Calibri" w:hAnsi="Book Antiqua"/>
                <w:szCs w:val="20"/>
                <w:lang w:eastAsia="id-ID"/>
              </w:rPr>
              <w:t xml:space="preserve"> COVID 19</w:t>
            </w:r>
          </w:p>
        </w:tc>
        <w:tc>
          <w:tcPr>
            <w:tcW w:w="567"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20</w:t>
            </w:r>
          </w:p>
        </w:tc>
        <w:tc>
          <w:tcPr>
            <w:tcW w:w="850"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0.698</w:t>
            </w:r>
          </w:p>
        </w:tc>
        <w:tc>
          <w:tcPr>
            <w:tcW w:w="886"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42.822</w:t>
            </w:r>
          </w:p>
        </w:tc>
        <w:tc>
          <w:tcPr>
            <w:tcW w:w="815"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8.309</w:t>
            </w:r>
          </w:p>
        </w:tc>
        <w:tc>
          <w:tcPr>
            <w:tcW w:w="1571" w:type="dxa"/>
            <w:shd w:val="clear" w:color="auto" w:fill="FFFFFF"/>
          </w:tcPr>
          <w:p w:rsidR="00625FC7" w:rsidRPr="00565F86" w:rsidRDefault="00E90A84" w:rsidP="00625FC7">
            <w:pPr>
              <w:widowControl/>
              <w:autoSpaceDE w:val="0"/>
              <w:autoSpaceDN w:val="0"/>
              <w:adjustRightInd w:val="0"/>
              <w:ind w:left="60" w:right="60"/>
              <w:jc w:val="left"/>
              <w:rPr>
                <w:rFonts w:ascii="Book Antiqua" w:eastAsia="Calibri" w:hAnsi="Book Antiqua"/>
                <w:szCs w:val="20"/>
                <w:lang w:eastAsia="id-ID"/>
              </w:rPr>
            </w:pPr>
            <w:r w:rsidRPr="00565F86">
              <w:rPr>
                <w:rFonts w:ascii="Book Antiqua" w:eastAsia="Calibri" w:hAnsi="Book Antiqua"/>
                <w:szCs w:val="20"/>
                <w:lang w:eastAsia="id-ID"/>
              </w:rPr>
              <w:t>12.100</w:t>
            </w:r>
          </w:p>
        </w:tc>
      </w:tr>
    </w:tbl>
    <w:p w:rsidR="003419A2" w:rsidRDefault="003419A2" w:rsidP="003419A2">
      <w:pPr>
        <w:pStyle w:val="Ventura-Content"/>
        <w:ind w:firstLine="0"/>
        <w:rPr>
          <w:color w:val="000000"/>
          <w:szCs w:val="20"/>
          <w:lang w:val="id-ID"/>
        </w:rPr>
      </w:pPr>
    </w:p>
    <w:p w:rsidR="003419A2" w:rsidRDefault="00E90A84" w:rsidP="00565F86">
      <w:pPr>
        <w:pStyle w:val="Ventura-Content"/>
        <w:ind w:firstLine="709"/>
        <w:rPr>
          <w:color w:val="000000"/>
          <w:szCs w:val="20"/>
          <w:lang w:val="id-ID"/>
        </w:rPr>
      </w:pPr>
      <w:r w:rsidRPr="00256EEC">
        <w:rPr>
          <w:color w:val="000000"/>
          <w:szCs w:val="20"/>
        </w:rPr>
        <w:t xml:space="preserve">Table 11 shows that </w:t>
      </w:r>
      <w:r w:rsidR="00625FC7">
        <w:rPr>
          <w:color w:val="000000"/>
          <w:szCs w:val="20"/>
        </w:rPr>
        <w:t>twenty</w:t>
      </w:r>
      <w:r w:rsidRPr="00256EEC">
        <w:rPr>
          <w:color w:val="000000"/>
          <w:szCs w:val="20"/>
        </w:rPr>
        <w:t xml:space="preserve"> companies in the Consumer Goods Industry experienced an increase in the current ratio's average value from 3.154 to 4.504. In contrast, the average value of DER decreased from 0.826 to 0.622. The average value of ROA increased from 0.018 to 0.211, and the average value of receivable turnover also increased from 2.882 to 8.309. </w:t>
      </w:r>
    </w:p>
    <w:p w:rsidR="003419A2" w:rsidRDefault="003419A2" w:rsidP="003419A2">
      <w:pPr>
        <w:pStyle w:val="Ventura-Content"/>
        <w:ind w:firstLine="0"/>
        <w:rPr>
          <w:color w:val="000000"/>
          <w:szCs w:val="20"/>
          <w:lang w:val="id-ID"/>
        </w:rPr>
      </w:pPr>
    </w:p>
    <w:p w:rsidR="00625FC7" w:rsidRDefault="00E90A84" w:rsidP="00625FC7">
      <w:pPr>
        <w:pStyle w:val="Ventura-Content"/>
        <w:ind w:firstLine="0"/>
        <w:jc w:val="center"/>
        <w:rPr>
          <w:color w:val="000000"/>
          <w:szCs w:val="20"/>
        </w:rPr>
      </w:pPr>
      <w:r w:rsidRPr="00256EEC">
        <w:rPr>
          <w:color w:val="000000"/>
          <w:szCs w:val="20"/>
        </w:rPr>
        <w:t>Table 12</w:t>
      </w:r>
      <w:r>
        <w:rPr>
          <w:color w:val="000000"/>
          <w:szCs w:val="20"/>
        </w:rPr>
        <w:t xml:space="preserve">. </w:t>
      </w:r>
      <w:r w:rsidRPr="00256EEC">
        <w:rPr>
          <w:color w:val="000000"/>
          <w:szCs w:val="20"/>
        </w:rPr>
        <w:t xml:space="preserve">Changes in Average Value of Current Ratio, DER, ROA, and </w:t>
      </w:r>
      <w:r>
        <w:rPr>
          <w:color w:val="000000"/>
          <w:szCs w:val="20"/>
        </w:rPr>
        <w:t xml:space="preserve">Receivable </w:t>
      </w:r>
    </w:p>
    <w:p w:rsidR="003419A2" w:rsidRPr="00625FC7" w:rsidRDefault="00E90A84" w:rsidP="00625FC7">
      <w:pPr>
        <w:pStyle w:val="Ventura-Content"/>
        <w:ind w:firstLine="0"/>
        <w:jc w:val="center"/>
        <w:rPr>
          <w:color w:val="000000"/>
          <w:szCs w:val="20"/>
        </w:rPr>
      </w:pPr>
      <w:r>
        <w:rPr>
          <w:color w:val="000000"/>
          <w:szCs w:val="20"/>
        </w:rPr>
        <w:t xml:space="preserve">Turnover </w:t>
      </w:r>
      <w:r w:rsidR="002A42E0" w:rsidRPr="00256EEC">
        <w:rPr>
          <w:color w:val="000000"/>
          <w:szCs w:val="20"/>
        </w:rPr>
        <w:t xml:space="preserve">in </w:t>
      </w:r>
      <w:r w:rsidR="00A15CBD">
        <w:rPr>
          <w:color w:val="000000"/>
          <w:szCs w:val="20"/>
          <w:lang w:val="id-ID"/>
        </w:rPr>
        <w:t xml:space="preserve">the Sectors of </w:t>
      </w:r>
      <w:r w:rsidR="002A42E0" w:rsidRPr="00256EEC">
        <w:rPr>
          <w:color w:val="000000"/>
          <w:szCs w:val="20"/>
        </w:rPr>
        <w:t xml:space="preserve">Property, Real Estate, </w:t>
      </w:r>
      <w:r w:rsidR="00A15CBD">
        <w:rPr>
          <w:color w:val="000000"/>
          <w:szCs w:val="20"/>
        </w:rPr>
        <w:t>and Building Construction</w:t>
      </w:r>
    </w:p>
    <w:tbl>
      <w:tblPr>
        <w:tblW w:w="7170"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08"/>
        <w:gridCol w:w="567"/>
        <w:gridCol w:w="850"/>
        <w:gridCol w:w="874"/>
        <w:gridCol w:w="827"/>
        <w:gridCol w:w="1544"/>
      </w:tblGrid>
      <w:tr w:rsidR="00C373BA" w:rsidTr="00625FC7">
        <w:trPr>
          <w:cantSplit/>
          <w:jc w:val="center"/>
        </w:trPr>
        <w:tc>
          <w:tcPr>
            <w:tcW w:w="7170" w:type="dxa"/>
            <w:gridSpan w:val="6"/>
            <w:tcBorders>
              <w:bottom w:val="nil"/>
            </w:tcBorders>
            <w:shd w:val="clear" w:color="auto" w:fill="FFFFFF"/>
            <w:vAlign w:val="center"/>
          </w:tcPr>
          <w:p w:rsidR="009B073B" w:rsidRPr="009B073B" w:rsidRDefault="00E90A84" w:rsidP="005F20BA">
            <w:pPr>
              <w:widowControl/>
              <w:autoSpaceDE w:val="0"/>
              <w:autoSpaceDN w:val="0"/>
              <w:adjustRightInd w:val="0"/>
              <w:ind w:left="60" w:right="60"/>
              <w:jc w:val="center"/>
              <w:rPr>
                <w:rFonts w:ascii="Book Antiqua" w:eastAsia="Calibri" w:hAnsi="Book Antiqua"/>
                <w:szCs w:val="20"/>
                <w:lang w:eastAsia="id-ID"/>
              </w:rPr>
            </w:pPr>
            <w:r w:rsidRPr="009B073B">
              <w:rPr>
                <w:rFonts w:ascii="Book Antiqua" w:eastAsia="Calibri" w:hAnsi="Book Antiqua"/>
                <w:b/>
                <w:bCs/>
                <w:szCs w:val="20"/>
                <w:lang w:eastAsia="id-ID"/>
              </w:rPr>
              <w:t>Descriptive Statistics</w:t>
            </w:r>
          </w:p>
        </w:tc>
      </w:tr>
      <w:tr w:rsidR="00C373BA" w:rsidTr="00625FC7">
        <w:trPr>
          <w:cantSplit/>
          <w:jc w:val="center"/>
        </w:trPr>
        <w:tc>
          <w:tcPr>
            <w:tcW w:w="2508" w:type="dxa"/>
            <w:tcBorders>
              <w:top w:val="nil"/>
              <w:bottom w:val="single" w:sz="4" w:space="0" w:color="auto"/>
            </w:tcBorders>
            <w:shd w:val="clear" w:color="auto" w:fill="FFFFFF"/>
            <w:vAlign w:val="bottom"/>
          </w:tcPr>
          <w:p w:rsidR="009B073B" w:rsidRPr="009B073B" w:rsidRDefault="009B073B" w:rsidP="005F20BA">
            <w:pPr>
              <w:widowControl/>
              <w:autoSpaceDE w:val="0"/>
              <w:autoSpaceDN w:val="0"/>
              <w:adjustRightInd w:val="0"/>
              <w:rPr>
                <w:rFonts w:ascii="Book Antiqua" w:eastAsia="Calibri" w:hAnsi="Book Antiqua"/>
                <w:szCs w:val="20"/>
                <w:lang w:eastAsia="id-ID"/>
              </w:rPr>
            </w:pPr>
          </w:p>
        </w:tc>
        <w:tc>
          <w:tcPr>
            <w:tcW w:w="567" w:type="dxa"/>
            <w:tcBorders>
              <w:top w:val="nil"/>
              <w:bottom w:val="single" w:sz="4" w:space="0" w:color="auto"/>
            </w:tcBorders>
            <w:shd w:val="clear" w:color="auto" w:fill="FFFFFF"/>
            <w:vAlign w:val="bottom"/>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N</w:t>
            </w:r>
          </w:p>
        </w:tc>
        <w:tc>
          <w:tcPr>
            <w:tcW w:w="850" w:type="dxa"/>
            <w:tcBorders>
              <w:top w:val="nil"/>
              <w:bottom w:val="single" w:sz="4" w:space="0" w:color="auto"/>
            </w:tcBorders>
            <w:shd w:val="clear" w:color="auto" w:fill="FFFFFF"/>
            <w:vAlign w:val="bottom"/>
          </w:tcPr>
          <w:p w:rsidR="009B073B" w:rsidRPr="009B073B" w:rsidRDefault="00E90A84" w:rsidP="00625FC7">
            <w:pPr>
              <w:widowControl/>
              <w:tabs>
                <w:tab w:val="left" w:pos="158"/>
              </w:tabs>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Min</w:t>
            </w:r>
          </w:p>
        </w:tc>
        <w:tc>
          <w:tcPr>
            <w:tcW w:w="874" w:type="dxa"/>
            <w:tcBorders>
              <w:top w:val="nil"/>
              <w:bottom w:val="single" w:sz="4" w:space="0" w:color="auto"/>
            </w:tcBorders>
            <w:shd w:val="clear" w:color="auto" w:fill="FFFFFF"/>
            <w:vAlign w:val="bottom"/>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Max</w:t>
            </w:r>
          </w:p>
        </w:tc>
        <w:tc>
          <w:tcPr>
            <w:tcW w:w="827" w:type="dxa"/>
            <w:tcBorders>
              <w:top w:val="nil"/>
              <w:bottom w:val="single" w:sz="4" w:space="0" w:color="auto"/>
            </w:tcBorders>
            <w:shd w:val="clear" w:color="auto" w:fill="FFFFFF"/>
            <w:vAlign w:val="bottom"/>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Mean</w:t>
            </w:r>
          </w:p>
        </w:tc>
        <w:tc>
          <w:tcPr>
            <w:tcW w:w="1544" w:type="dxa"/>
            <w:tcBorders>
              <w:top w:val="nil"/>
              <w:bottom w:val="single" w:sz="4" w:space="0" w:color="auto"/>
            </w:tcBorders>
            <w:shd w:val="clear" w:color="auto" w:fill="FFFFFF"/>
            <w:vAlign w:val="bottom"/>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Std. Deviation</w:t>
            </w:r>
          </w:p>
        </w:tc>
      </w:tr>
      <w:tr w:rsidR="00C373BA" w:rsidTr="00625FC7">
        <w:trPr>
          <w:cantSplit/>
          <w:jc w:val="center"/>
        </w:trPr>
        <w:tc>
          <w:tcPr>
            <w:tcW w:w="2508" w:type="dxa"/>
            <w:tcBorders>
              <w:top w:val="single" w:sz="4" w:space="0" w:color="auto"/>
            </w:tcBorders>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CR_</w:t>
            </w:r>
            <w:r>
              <w:rPr>
                <w:rFonts w:ascii="Book Antiqua" w:eastAsia="Calibri" w:hAnsi="Book Antiqua"/>
                <w:szCs w:val="20"/>
                <w:lang w:val="id-ID" w:eastAsia="id-ID"/>
              </w:rPr>
              <w:t>before</w:t>
            </w:r>
            <w:r w:rsidRPr="009B073B">
              <w:rPr>
                <w:rFonts w:ascii="Book Antiqua" w:eastAsia="Calibri" w:hAnsi="Book Antiqua"/>
                <w:szCs w:val="20"/>
                <w:lang w:eastAsia="id-ID"/>
              </w:rPr>
              <w:t xml:space="preserve"> COVID 19</w:t>
            </w:r>
          </w:p>
        </w:tc>
        <w:tc>
          <w:tcPr>
            <w:tcW w:w="567" w:type="dxa"/>
            <w:tcBorders>
              <w:top w:val="single" w:sz="4" w:space="0" w:color="auto"/>
            </w:tcBorders>
            <w:shd w:val="clear" w:color="auto" w:fill="auto"/>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0" w:type="dxa"/>
            <w:tcBorders>
              <w:top w:val="single" w:sz="4" w:space="0" w:color="auto"/>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1.147</w:t>
            </w:r>
          </w:p>
        </w:tc>
        <w:tc>
          <w:tcPr>
            <w:tcW w:w="874" w:type="dxa"/>
            <w:tcBorders>
              <w:top w:val="single" w:sz="4" w:space="0" w:color="auto"/>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10.196</w:t>
            </w:r>
          </w:p>
        </w:tc>
        <w:tc>
          <w:tcPr>
            <w:tcW w:w="827" w:type="dxa"/>
            <w:tcBorders>
              <w:top w:val="single" w:sz="4" w:space="0" w:color="auto"/>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3.717</w:t>
            </w:r>
          </w:p>
        </w:tc>
        <w:tc>
          <w:tcPr>
            <w:tcW w:w="1544" w:type="dxa"/>
            <w:tcBorders>
              <w:top w:val="single" w:sz="4" w:space="0" w:color="auto"/>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3.441</w:t>
            </w:r>
          </w:p>
        </w:tc>
      </w:tr>
      <w:tr w:rsidR="00C373BA" w:rsidTr="00625FC7">
        <w:trPr>
          <w:cantSplit/>
          <w:jc w:val="center"/>
        </w:trPr>
        <w:tc>
          <w:tcPr>
            <w:tcW w:w="2508" w:type="dxa"/>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CR_</w:t>
            </w:r>
            <w:r>
              <w:rPr>
                <w:rFonts w:ascii="Book Antiqua" w:eastAsia="Calibri" w:hAnsi="Book Antiqua"/>
                <w:szCs w:val="20"/>
                <w:lang w:val="id-ID" w:eastAsia="id-ID"/>
              </w:rPr>
              <w:t>during</w:t>
            </w:r>
            <w:r w:rsidRPr="009B073B">
              <w:rPr>
                <w:rFonts w:ascii="Book Antiqua" w:eastAsia="Calibri" w:hAnsi="Book Antiqua"/>
                <w:szCs w:val="20"/>
                <w:lang w:eastAsia="id-ID"/>
              </w:rPr>
              <w:t xml:space="preserve"> COVID 19</w:t>
            </w:r>
          </w:p>
        </w:tc>
        <w:tc>
          <w:tcPr>
            <w:tcW w:w="567"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0"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1.135</w:t>
            </w:r>
          </w:p>
        </w:tc>
        <w:tc>
          <w:tcPr>
            <w:tcW w:w="874"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3.809</w:t>
            </w:r>
          </w:p>
        </w:tc>
        <w:tc>
          <w:tcPr>
            <w:tcW w:w="827"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2.612</w:t>
            </w:r>
          </w:p>
        </w:tc>
        <w:tc>
          <w:tcPr>
            <w:tcW w:w="1544"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1.157</w:t>
            </w:r>
          </w:p>
        </w:tc>
      </w:tr>
      <w:tr w:rsidR="00C373BA" w:rsidTr="00625FC7">
        <w:trPr>
          <w:cantSplit/>
          <w:jc w:val="center"/>
        </w:trPr>
        <w:tc>
          <w:tcPr>
            <w:tcW w:w="2508" w:type="dxa"/>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DER_</w:t>
            </w:r>
            <w:r>
              <w:rPr>
                <w:rFonts w:ascii="Book Antiqua" w:eastAsia="Calibri" w:hAnsi="Book Antiqua"/>
                <w:szCs w:val="20"/>
                <w:lang w:val="id-ID" w:eastAsia="id-ID"/>
              </w:rPr>
              <w:t>before</w:t>
            </w:r>
            <w:r w:rsidRPr="009B073B">
              <w:rPr>
                <w:rFonts w:ascii="Book Antiqua" w:eastAsia="Calibri" w:hAnsi="Book Antiqua"/>
                <w:szCs w:val="20"/>
                <w:lang w:eastAsia="id-ID"/>
              </w:rPr>
              <w:t xml:space="preserve"> COVID 19</w:t>
            </w:r>
          </w:p>
        </w:tc>
        <w:tc>
          <w:tcPr>
            <w:tcW w:w="567"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0"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0.084</w:t>
            </w:r>
          </w:p>
        </w:tc>
        <w:tc>
          <w:tcPr>
            <w:tcW w:w="874"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3.689</w:t>
            </w:r>
          </w:p>
        </w:tc>
        <w:tc>
          <w:tcPr>
            <w:tcW w:w="827"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1.352</w:t>
            </w:r>
          </w:p>
        </w:tc>
        <w:tc>
          <w:tcPr>
            <w:tcW w:w="1544"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1.315</w:t>
            </w:r>
          </w:p>
        </w:tc>
      </w:tr>
      <w:tr w:rsidR="00C373BA" w:rsidTr="00625FC7">
        <w:trPr>
          <w:cantSplit/>
          <w:jc w:val="center"/>
        </w:trPr>
        <w:tc>
          <w:tcPr>
            <w:tcW w:w="2508" w:type="dxa"/>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DER_</w:t>
            </w:r>
            <w:r>
              <w:rPr>
                <w:rFonts w:ascii="Book Antiqua" w:eastAsia="Calibri" w:hAnsi="Book Antiqua"/>
                <w:szCs w:val="20"/>
                <w:lang w:val="id-ID" w:eastAsia="id-ID"/>
              </w:rPr>
              <w:t>during</w:t>
            </w:r>
            <w:r w:rsidRPr="009B073B">
              <w:rPr>
                <w:rFonts w:ascii="Book Antiqua" w:eastAsia="Calibri" w:hAnsi="Book Antiqua"/>
                <w:szCs w:val="20"/>
                <w:lang w:eastAsia="id-ID"/>
              </w:rPr>
              <w:t xml:space="preserve"> COVID 19</w:t>
            </w:r>
          </w:p>
        </w:tc>
        <w:tc>
          <w:tcPr>
            <w:tcW w:w="567"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0"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0.079</w:t>
            </w:r>
          </w:p>
        </w:tc>
        <w:tc>
          <w:tcPr>
            <w:tcW w:w="874"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5.700</w:t>
            </w:r>
          </w:p>
        </w:tc>
        <w:tc>
          <w:tcPr>
            <w:tcW w:w="827"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1.614</w:t>
            </w:r>
          </w:p>
        </w:tc>
        <w:tc>
          <w:tcPr>
            <w:tcW w:w="1544"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2.101</w:t>
            </w:r>
          </w:p>
        </w:tc>
      </w:tr>
      <w:tr w:rsidR="00C373BA" w:rsidTr="00625FC7">
        <w:trPr>
          <w:cantSplit/>
          <w:jc w:val="center"/>
        </w:trPr>
        <w:tc>
          <w:tcPr>
            <w:tcW w:w="2508" w:type="dxa"/>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ROA_</w:t>
            </w:r>
            <w:r>
              <w:rPr>
                <w:rFonts w:ascii="Book Antiqua" w:eastAsia="Calibri" w:hAnsi="Book Antiqua"/>
                <w:szCs w:val="20"/>
                <w:lang w:val="id-ID" w:eastAsia="id-ID"/>
              </w:rPr>
              <w:t>before</w:t>
            </w:r>
            <w:r w:rsidRPr="009B073B">
              <w:rPr>
                <w:rFonts w:ascii="Book Antiqua" w:eastAsia="Calibri" w:hAnsi="Book Antiqua"/>
                <w:szCs w:val="20"/>
                <w:lang w:eastAsia="id-ID"/>
              </w:rPr>
              <w:t xml:space="preserve"> COVID 19</w:t>
            </w:r>
          </w:p>
        </w:tc>
        <w:tc>
          <w:tcPr>
            <w:tcW w:w="567"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0"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-0.015</w:t>
            </w:r>
          </w:p>
        </w:tc>
        <w:tc>
          <w:tcPr>
            <w:tcW w:w="874"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0.043</w:t>
            </w:r>
          </w:p>
        </w:tc>
        <w:tc>
          <w:tcPr>
            <w:tcW w:w="827"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0.005</w:t>
            </w:r>
          </w:p>
        </w:tc>
        <w:tc>
          <w:tcPr>
            <w:tcW w:w="1544"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0.019</w:t>
            </w:r>
          </w:p>
        </w:tc>
      </w:tr>
      <w:tr w:rsidR="00C373BA" w:rsidTr="00625FC7">
        <w:trPr>
          <w:cantSplit/>
          <w:jc w:val="center"/>
        </w:trPr>
        <w:tc>
          <w:tcPr>
            <w:tcW w:w="2508" w:type="dxa"/>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ROA_</w:t>
            </w:r>
            <w:r>
              <w:rPr>
                <w:rFonts w:ascii="Book Antiqua" w:eastAsia="Calibri" w:hAnsi="Book Antiqua"/>
                <w:szCs w:val="20"/>
                <w:lang w:val="id-ID" w:eastAsia="id-ID"/>
              </w:rPr>
              <w:t>during</w:t>
            </w:r>
            <w:r w:rsidRPr="009B073B">
              <w:rPr>
                <w:rFonts w:ascii="Book Antiqua" w:eastAsia="Calibri" w:hAnsi="Book Antiqua"/>
                <w:szCs w:val="20"/>
                <w:lang w:eastAsia="id-ID"/>
              </w:rPr>
              <w:t xml:space="preserve"> COVID 19</w:t>
            </w:r>
          </w:p>
        </w:tc>
        <w:tc>
          <w:tcPr>
            <w:tcW w:w="567"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0"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-0.015</w:t>
            </w:r>
          </w:p>
        </w:tc>
        <w:tc>
          <w:tcPr>
            <w:tcW w:w="874"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0.014</w:t>
            </w:r>
          </w:p>
        </w:tc>
        <w:tc>
          <w:tcPr>
            <w:tcW w:w="827"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-0.004</w:t>
            </w:r>
          </w:p>
        </w:tc>
        <w:tc>
          <w:tcPr>
            <w:tcW w:w="1544"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0.012</w:t>
            </w:r>
          </w:p>
        </w:tc>
      </w:tr>
      <w:tr w:rsidR="00C373BA" w:rsidTr="00625FC7">
        <w:trPr>
          <w:cantSplit/>
          <w:jc w:val="center"/>
        </w:trPr>
        <w:tc>
          <w:tcPr>
            <w:tcW w:w="2508" w:type="dxa"/>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RTO_</w:t>
            </w:r>
            <w:r>
              <w:rPr>
                <w:rFonts w:ascii="Book Antiqua" w:eastAsia="Calibri" w:hAnsi="Book Antiqua"/>
                <w:szCs w:val="20"/>
                <w:lang w:val="id-ID" w:eastAsia="id-ID"/>
              </w:rPr>
              <w:t>before</w:t>
            </w:r>
            <w:r w:rsidRPr="009B073B">
              <w:rPr>
                <w:rFonts w:ascii="Book Antiqua" w:eastAsia="Calibri" w:hAnsi="Book Antiqua"/>
                <w:szCs w:val="20"/>
                <w:lang w:eastAsia="id-ID"/>
              </w:rPr>
              <w:t xml:space="preserve"> COVID 19</w:t>
            </w:r>
          </w:p>
        </w:tc>
        <w:tc>
          <w:tcPr>
            <w:tcW w:w="567"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0"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0.688</w:t>
            </w:r>
          </w:p>
        </w:tc>
        <w:tc>
          <w:tcPr>
            <w:tcW w:w="874"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23.789</w:t>
            </w:r>
          </w:p>
        </w:tc>
        <w:tc>
          <w:tcPr>
            <w:tcW w:w="827"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6.093</w:t>
            </w:r>
          </w:p>
        </w:tc>
        <w:tc>
          <w:tcPr>
            <w:tcW w:w="1544"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8.803</w:t>
            </w:r>
          </w:p>
        </w:tc>
      </w:tr>
      <w:tr w:rsidR="00C373BA" w:rsidTr="00625FC7">
        <w:trPr>
          <w:cantSplit/>
          <w:jc w:val="center"/>
        </w:trPr>
        <w:tc>
          <w:tcPr>
            <w:tcW w:w="2508" w:type="dxa"/>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RTO_</w:t>
            </w:r>
            <w:r>
              <w:rPr>
                <w:rFonts w:ascii="Book Antiqua" w:eastAsia="Calibri" w:hAnsi="Book Antiqua"/>
                <w:szCs w:val="20"/>
                <w:lang w:val="id-ID" w:eastAsia="id-ID"/>
              </w:rPr>
              <w:t>during</w:t>
            </w:r>
            <w:r w:rsidRPr="009B073B">
              <w:rPr>
                <w:rFonts w:ascii="Book Antiqua" w:eastAsia="Calibri" w:hAnsi="Book Antiqua"/>
                <w:szCs w:val="20"/>
                <w:lang w:eastAsia="id-ID"/>
              </w:rPr>
              <w:t xml:space="preserve"> COVID 19</w:t>
            </w:r>
          </w:p>
        </w:tc>
        <w:tc>
          <w:tcPr>
            <w:tcW w:w="567"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0"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0.421</w:t>
            </w:r>
          </w:p>
        </w:tc>
        <w:tc>
          <w:tcPr>
            <w:tcW w:w="874"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36.691</w:t>
            </w:r>
          </w:p>
        </w:tc>
        <w:tc>
          <w:tcPr>
            <w:tcW w:w="827"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9.278</w:t>
            </w:r>
          </w:p>
        </w:tc>
        <w:tc>
          <w:tcPr>
            <w:tcW w:w="1544" w:type="dxa"/>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13.890</w:t>
            </w:r>
          </w:p>
        </w:tc>
      </w:tr>
    </w:tbl>
    <w:p w:rsidR="003419A2" w:rsidRDefault="003419A2" w:rsidP="003419A2">
      <w:pPr>
        <w:pStyle w:val="Ventura-Content"/>
        <w:ind w:firstLine="0"/>
        <w:rPr>
          <w:color w:val="000000"/>
          <w:szCs w:val="20"/>
          <w:lang w:val="id-ID"/>
        </w:rPr>
      </w:pPr>
    </w:p>
    <w:p w:rsidR="009B073B" w:rsidRDefault="00E90A84" w:rsidP="009B073B">
      <w:pPr>
        <w:pStyle w:val="Ventura-Content"/>
        <w:ind w:firstLine="709"/>
        <w:rPr>
          <w:color w:val="000000"/>
          <w:szCs w:val="20"/>
          <w:lang w:val="id-ID"/>
        </w:rPr>
      </w:pPr>
      <w:r w:rsidRPr="00256EEC">
        <w:rPr>
          <w:color w:val="000000"/>
          <w:szCs w:val="20"/>
        </w:rPr>
        <w:t xml:space="preserve">Table 12 shows that the </w:t>
      </w:r>
      <w:r w:rsidR="00625FC7">
        <w:rPr>
          <w:color w:val="000000"/>
          <w:szCs w:val="20"/>
        </w:rPr>
        <w:t>twenty-four</w:t>
      </w:r>
      <w:r w:rsidRPr="00256EEC">
        <w:rPr>
          <w:color w:val="000000"/>
          <w:szCs w:val="20"/>
        </w:rPr>
        <w:t xml:space="preserve"> companies in the Property, Real Estate, and Building Construction sector used as the samples experienced a decrease in the average value of the current ratio from 3.717 to 2.612. The average value of DER increased from 1.352 to 1.614. The average value of ROA decreased from 0.005 to -0.004, while the average value of receivable turnover increased from 6.093 to 9.278. </w:t>
      </w:r>
    </w:p>
    <w:p w:rsidR="009B073B" w:rsidRPr="009B073B" w:rsidRDefault="009B073B" w:rsidP="009B073B">
      <w:pPr>
        <w:pStyle w:val="Ventura-Content"/>
        <w:ind w:firstLine="709"/>
        <w:rPr>
          <w:color w:val="000000"/>
          <w:szCs w:val="20"/>
          <w:lang w:val="id-ID"/>
        </w:rPr>
      </w:pPr>
    </w:p>
    <w:p w:rsidR="00625FC7" w:rsidRDefault="00E90A84" w:rsidP="00625FC7">
      <w:pPr>
        <w:pStyle w:val="Ventura-Content"/>
        <w:ind w:firstLine="0"/>
        <w:jc w:val="center"/>
        <w:rPr>
          <w:color w:val="000000"/>
          <w:szCs w:val="20"/>
          <w:lang w:val="id-ID"/>
        </w:rPr>
      </w:pPr>
      <w:r w:rsidRPr="009B073B">
        <w:rPr>
          <w:color w:val="000000"/>
          <w:szCs w:val="20"/>
          <w:lang w:val="id-ID"/>
        </w:rPr>
        <w:t>Tabel 13</w:t>
      </w:r>
      <w:r>
        <w:rPr>
          <w:color w:val="000000"/>
          <w:szCs w:val="20"/>
        </w:rPr>
        <w:t xml:space="preserve">. </w:t>
      </w:r>
      <w:r>
        <w:rPr>
          <w:color w:val="000000"/>
          <w:szCs w:val="20"/>
          <w:lang w:val="id-ID"/>
        </w:rPr>
        <w:t>Changes in Average Value of Current Ratio, DER, ROA, and</w:t>
      </w:r>
      <w:r>
        <w:rPr>
          <w:color w:val="000000"/>
          <w:szCs w:val="20"/>
        </w:rPr>
        <w:t xml:space="preserve"> </w:t>
      </w:r>
      <w:r>
        <w:rPr>
          <w:color w:val="000000"/>
          <w:szCs w:val="20"/>
          <w:lang w:val="id-ID"/>
        </w:rPr>
        <w:t>Receivable</w:t>
      </w:r>
    </w:p>
    <w:p w:rsidR="003419A2" w:rsidRDefault="00E90A84" w:rsidP="00625FC7">
      <w:pPr>
        <w:pStyle w:val="Ventura-Content"/>
        <w:ind w:firstLine="0"/>
        <w:jc w:val="center"/>
        <w:rPr>
          <w:color w:val="000000"/>
          <w:szCs w:val="20"/>
          <w:lang w:val="id-ID"/>
        </w:rPr>
      </w:pPr>
      <w:r>
        <w:rPr>
          <w:color w:val="000000"/>
          <w:szCs w:val="20"/>
          <w:lang w:val="id-ID"/>
        </w:rPr>
        <w:t>Turnover</w:t>
      </w:r>
      <w:r w:rsidR="00625FC7">
        <w:rPr>
          <w:color w:val="000000"/>
          <w:szCs w:val="20"/>
        </w:rPr>
        <w:t xml:space="preserve"> </w:t>
      </w:r>
      <w:r>
        <w:rPr>
          <w:color w:val="000000"/>
          <w:szCs w:val="20"/>
          <w:lang w:val="id-ID"/>
        </w:rPr>
        <w:t xml:space="preserve">in </w:t>
      </w:r>
      <w:r w:rsidR="00A15CBD">
        <w:rPr>
          <w:color w:val="000000"/>
          <w:szCs w:val="20"/>
          <w:lang w:val="id-ID"/>
        </w:rPr>
        <w:t xml:space="preserve">the Sectors of </w:t>
      </w:r>
      <w:r w:rsidRPr="009B073B">
        <w:rPr>
          <w:color w:val="000000"/>
          <w:szCs w:val="20"/>
          <w:lang w:val="id-ID"/>
        </w:rPr>
        <w:t>Infrastructure, Uti</w:t>
      </w:r>
      <w:r w:rsidR="00A15CBD">
        <w:rPr>
          <w:color w:val="000000"/>
          <w:szCs w:val="20"/>
          <w:lang w:val="id-ID"/>
        </w:rPr>
        <w:t>lities, and Transportation</w:t>
      </w:r>
    </w:p>
    <w:tbl>
      <w:tblPr>
        <w:tblW w:w="71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44"/>
        <w:gridCol w:w="567"/>
        <w:gridCol w:w="851"/>
        <w:gridCol w:w="850"/>
        <w:gridCol w:w="851"/>
        <w:gridCol w:w="1662"/>
      </w:tblGrid>
      <w:tr w:rsidR="00C373BA" w:rsidTr="009B073B">
        <w:trPr>
          <w:cantSplit/>
          <w:jc w:val="center"/>
        </w:trPr>
        <w:tc>
          <w:tcPr>
            <w:tcW w:w="7125" w:type="dxa"/>
            <w:gridSpan w:val="6"/>
            <w:tcBorders>
              <w:top w:val="single" w:sz="4" w:space="0" w:color="auto"/>
              <w:left w:val="nil"/>
              <w:bottom w:val="single" w:sz="4" w:space="0" w:color="auto"/>
              <w:right w:val="nil"/>
            </w:tcBorders>
            <w:shd w:val="clear" w:color="auto" w:fill="FFFFFF"/>
            <w:vAlign w:val="center"/>
          </w:tcPr>
          <w:p w:rsidR="009B073B" w:rsidRPr="009B073B" w:rsidRDefault="00E90A84" w:rsidP="005F20BA">
            <w:pPr>
              <w:widowControl/>
              <w:autoSpaceDE w:val="0"/>
              <w:autoSpaceDN w:val="0"/>
              <w:adjustRightInd w:val="0"/>
              <w:ind w:left="60" w:right="60"/>
              <w:jc w:val="center"/>
              <w:rPr>
                <w:rFonts w:ascii="Book Antiqua" w:eastAsia="Calibri" w:hAnsi="Book Antiqua"/>
                <w:szCs w:val="20"/>
                <w:lang w:eastAsia="id-ID"/>
              </w:rPr>
            </w:pPr>
            <w:r w:rsidRPr="009B073B">
              <w:rPr>
                <w:rFonts w:ascii="Book Antiqua" w:eastAsia="Calibri" w:hAnsi="Book Antiqua"/>
                <w:b/>
                <w:bCs/>
                <w:szCs w:val="20"/>
                <w:lang w:eastAsia="id-ID"/>
              </w:rPr>
              <w:t>Descriptive Statistics</w:t>
            </w:r>
          </w:p>
        </w:tc>
      </w:tr>
      <w:tr w:rsidR="00C373BA" w:rsidTr="009B073B">
        <w:trPr>
          <w:cantSplit/>
          <w:jc w:val="center"/>
        </w:trPr>
        <w:tc>
          <w:tcPr>
            <w:tcW w:w="2344" w:type="dxa"/>
            <w:tcBorders>
              <w:top w:val="single" w:sz="4" w:space="0" w:color="auto"/>
              <w:left w:val="nil"/>
              <w:bottom w:val="single" w:sz="4" w:space="0" w:color="auto"/>
              <w:right w:val="nil"/>
            </w:tcBorders>
            <w:shd w:val="clear" w:color="auto" w:fill="FFFFFF"/>
            <w:vAlign w:val="bottom"/>
          </w:tcPr>
          <w:p w:rsidR="009B073B" w:rsidRPr="00A15CBD" w:rsidRDefault="009B073B" w:rsidP="005F20BA">
            <w:pPr>
              <w:widowControl/>
              <w:autoSpaceDE w:val="0"/>
              <w:autoSpaceDN w:val="0"/>
              <w:adjustRightInd w:val="0"/>
              <w:rPr>
                <w:rFonts w:ascii="Book Antiqua" w:eastAsia="Calibri" w:hAnsi="Book Antiqua"/>
                <w:szCs w:val="20"/>
                <w:lang w:val="id-ID" w:eastAsia="id-ID"/>
              </w:rPr>
            </w:pPr>
          </w:p>
        </w:tc>
        <w:tc>
          <w:tcPr>
            <w:tcW w:w="567" w:type="dxa"/>
            <w:tcBorders>
              <w:top w:val="single" w:sz="4" w:space="0" w:color="auto"/>
              <w:left w:val="nil"/>
              <w:bottom w:val="single" w:sz="4" w:space="0" w:color="auto"/>
              <w:right w:val="single" w:sz="8" w:space="0" w:color="E0E0E0"/>
            </w:tcBorders>
            <w:shd w:val="clear" w:color="auto" w:fill="FFFFFF"/>
            <w:vAlign w:val="bottom"/>
          </w:tcPr>
          <w:p w:rsidR="009B073B" w:rsidRPr="009B073B" w:rsidRDefault="00E90A84" w:rsidP="005F20BA">
            <w:pPr>
              <w:widowControl/>
              <w:autoSpaceDE w:val="0"/>
              <w:autoSpaceDN w:val="0"/>
              <w:adjustRightInd w:val="0"/>
              <w:ind w:left="60" w:right="60"/>
              <w:jc w:val="center"/>
              <w:rPr>
                <w:rFonts w:ascii="Book Antiqua" w:eastAsia="Calibri" w:hAnsi="Book Antiqua"/>
                <w:szCs w:val="20"/>
                <w:lang w:eastAsia="id-ID"/>
              </w:rPr>
            </w:pPr>
            <w:r w:rsidRPr="009B073B">
              <w:rPr>
                <w:rFonts w:ascii="Book Antiqua" w:eastAsia="Calibri" w:hAnsi="Book Antiqua"/>
                <w:szCs w:val="20"/>
                <w:lang w:eastAsia="id-ID"/>
              </w:rPr>
              <w:t>N</w:t>
            </w:r>
          </w:p>
        </w:tc>
        <w:tc>
          <w:tcPr>
            <w:tcW w:w="851" w:type="dxa"/>
            <w:tcBorders>
              <w:top w:val="single" w:sz="4" w:space="0" w:color="auto"/>
              <w:left w:val="single" w:sz="8" w:space="0" w:color="E0E0E0"/>
              <w:bottom w:val="single" w:sz="4" w:space="0" w:color="auto"/>
              <w:right w:val="single" w:sz="8" w:space="0" w:color="E0E0E0"/>
            </w:tcBorders>
            <w:shd w:val="clear" w:color="auto" w:fill="FFFFFF"/>
            <w:vAlign w:val="bottom"/>
          </w:tcPr>
          <w:p w:rsidR="009B073B" w:rsidRPr="009B073B" w:rsidRDefault="00E90A84" w:rsidP="005F20BA">
            <w:pPr>
              <w:widowControl/>
              <w:autoSpaceDE w:val="0"/>
              <w:autoSpaceDN w:val="0"/>
              <w:adjustRightInd w:val="0"/>
              <w:ind w:left="60" w:right="60"/>
              <w:jc w:val="center"/>
              <w:rPr>
                <w:rFonts w:ascii="Book Antiqua" w:eastAsia="Calibri" w:hAnsi="Book Antiqua"/>
                <w:szCs w:val="20"/>
                <w:lang w:eastAsia="id-ID"/>
              </w:rPr>
            </w:pPr>
            <w:r w:rsidRPr="009B073B">
              <w:rPr>
                <w:rFonts w:ascii="Book Antiqua" w:eastAsia="Calibri" w:hAnsi="Book Antiqua"/>
                <w:szCs w:val="20"/>
                <w:lang w:eastAsia="id-ID"/>
              </w:rPr>
              <w:t>Min</w:t>
            </w:r>
          </w:p>
        </w:tc>
        <w:tc>
          <w:tcPr>
            <w:tcW w:w="850" w:type="dxa"/>
            <w:tcBorders>
              <w:top w:val="single" w:sz="4" w:space="0" w:color="auto"/>
              <w:left w:val="single" w:sz="8" w:space="0" w:color="E0E0E0"/>
              <w:bottom w:val="single" w:sz="4" w:space="0" w:color="auto"/>
              <w:right w:val="single" w:sz="8" w:space="0" w:color="E0E0E0"/>
            </w:tcBorders>
            <w:shd w:val="clear" w:color="auto" w:fill="FFFFFF"/>
            <w:vAlign w:val="bottom"/>
          </w:tcPr>
          <w:p w:rsidR="009B073B" w:rsidRPr="009B073B" w:rsidRDefault="00E90A84" w:rsidP="005F20BA">
            <w:pPr>
              <w:widowControl/>
              <w:autoSpaceDE w:val="0"/>
              <w:autoSpaceDN w:val="0"/>
              <w:adjustRightInd w:val="0"/>
              <w:ind w:left="60" w:right="60"/>
              <w:jc w:val="center"/>
              <w:rPr>
                <w:rFonts w:ascii="Book Antiqua" w:eastAsia="Calibri" w:hAnsi="Book Antiqua"/>
                <w:szCs w:val="20"/>
                <w:lang w:eastAsia="id-ID"/>
              </w:rPr>
            </w:pPr>
            <w:r w:rsidRPr="009B073B">
              <w:rPr>
                <w:rFonts w:ascii="Book Antiqua" w:eastAsia="Calibri" w:hAnsi="Book Antiqua"/>
                <w:szCs w:val="20"/>
                <w:lang w:eastAsia="id-ID"/>
              </w:rPr>
              <w:t>Max</w:t>
            </w:r>
          </w:p>
        </w:tc>
        <w:tc>
          <w:tcPr>
            <w:tcW w:w="851" w:type="dxa"/>
            <w:tcBorders>
              <w:top w:val="single" w:sz="4" w:space="0" w:color="auto"/>
              <w:left w:val="single" w:sz="8" w:space="0" w:color="E0E0E0"/>
              <w:bottom w:val="single" w:sz="4" w:space="0" w:color="auto"/>
              <w:right w:val="single" w:sz="8" w:space="0" w:color="E0E0E0"/>
            </w:tcBorders>
            <w:shd w:val="clear" w:color="auto" w:fill="FFFFFF"/>
            <w:vAlign w:val="bottom"/>
          </w:tcPr>
          <w:p w:rsidR="009B073B" w:rsidRPr="009B073B" w:rsidRDefault="00E90A84" w:rsidP="005F20BA">
            <w:pPr>
              <w:widowControl/>
              <w:autoSpaceDE w:val="0"/>
              <w:autoSpaceDN w:val="0"/>
              <w:adjustRightInd w:val="0"/>
              <w:ind w:left="60" w:right="60"/>
              <w:jc w:val="center"/>
              <w:rPr>
                <w:rFonts w:ascii="Book Antiqua" w:eastAsia="Calibri" w:hAnsi="Book Antiqua"/>
                <w:szCs w:val="20"/>
                <w:lang w:eastAsia="id-ID"/>
              </w:rPr>
            </w:pPr>
            <w:r w:rsidRPr="009B073B">
              <w:rPr>
                <w:rFonts w:ascii="Book Antiqua" w:eastAsia="Calibri" w:hAnsi="Book Antiqua"/>
                <w:szCs w:val="20"/>
                <w:lang w:eastAsia="id-ID"/>
              </w:rPr>
              <w:t>Mean</w:t>
            </w:r>
          </w:p>
        </w:tc>
        <w:tc>
          <w:tcPr>
            <w:tcW w:w="1662" w:type="dxa"/>
            <w:tcBorders>
              <w:top w:val="single" w:sz="4" w:space="0" w:color="auto"/>
              <w:left w:val="single" w:sz="8" w:space="0" w:color="E0E0E0"/>
              <w:bottom w:val="single" w:sz="4" w:space="0" w:color="auto"/>
              <w:right w:val="nil"/>
            </w:tcBorders>
            <w:shd w:val="clear" w:color="auto" w:fill="FFFFFF"/>
            <w:vAlign w:val="bottom"/>
          </w:tcPr>
          <w:p w:rsidR="009B073B" w:rsidRPr="009B073B" w:rsidRDefault="00E90A84" w:rsidP="005F20BA">
            <w:pPr>
              <w:widowControl/>
              <w:autoSpaceDE w:val="0"/>
              <w:autoSpaceDN w:val="0"/>
              <w:adjustRightInd w:val="0"/>
              <w:ind w:left="60" w:right="60"/>
              <w:jc w:val="center"/>
              <w:rPr>
                <w:rFonts w:ascii="Book Antiqua" w:eastAsia="Calibri" w:hAnsi="Book Antiqua"/>
                <w:szCs w:val="20"/>
                <w:lang w:eastAsia="id-ID"/>
              </w:rPr>
            </w:pPr>
            <w:r w:rsidRPr="009B073B">
              <w:rPr>
                <w:rFonts w:ascii="Book Antiqua" w:eastAsia="Calibri" w:hAnsi="Book Antiqua"/>
                <w:szCs w:val="20"/>
                <w:lang w:eastAsia="id-ID"/>
              </w:rPr>
              <w:t>Std. Deviation</w:t>
            </w:r>
          </w:p>
        </w:tc>
      </w:tr>
      <w:tr w:rsidR="00C373BA" w:rsidTr="00625FC7">
        <w:trPr>
          <w:cantSplit/>
          <w:jc w:val="center"/>
        </w:trPr>
        <w:tc>
          <w:tcPr>
            <w:tcW w:w="2344" w:type="dxa"/>
            <w:tcBorders>
              <w:top w:val="single" w:sz="4" w:space="0" w:color="auto"/>
              <w:left w:val="nil"/>
              <w:bottom w:val="single" w:sz="4" w:space="0" w:color="auto"/>
              <w:right w:val="nil"/>
            </w:tcBorders>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CR_</w:t>
            </w:r>
            <w:r>
              <w:rPr>
                <w:rFonts w:ascii="Book Antiqua" w:eastAsia="Calibri" w:hAnsi="Book Antiqua"/>
                <w:szCs w:val="20"/>
                <w:lang w:val="id-ID" w:eastAsia="id-ID"/>
              </w:rPr>
              <w:t>before</w:t>
            </w:r>
            <w:r w:rsidRPr="009B073B">
              <w:rPr>
                <w:rFonts w:ascii="Book Antiqua" w:eastAsia="Calibri" w:hAnsi="Book Antiqua"/>
                <w:szCs w:val="20"/>
                <w:lang w:eastAsia="id-ID"/>
              </w:rPr>
              <w:t xml:space="preserve"> COVID 19</w:t>
            </w:r>
          </w:p>
        </w:tc>
        <w:tc>
          <w:tcPr>
            <w:tcW w:w="567" w:type="dxa"/>
            <w:tcBorders>
              <w:top w:val="single" w:sz="4" w:space="0" w:color="auto"/>
              <w:left w:val="nil"/>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val="id-ID" w:eastAsia="id-ID"/>
              </w:rPr>
            </w:pPr>
            <w:r w:rsidRPr="009B073B">
              <w:rPr>
                <w:rFonts w:ascii="Book Antiqua" w:eastAsia="Calibri" w:hAnsi="Book Antiqua"/>
                <w:szCs w:val="20"/>
                <w:lang w:eastAsia="id-ID"/>
              </w:rPr>
              <w:t>0.205</w:t>
            </w:r>
          </w:p>
        </w:tc>
        <w:tc>
          <w:tcPr>
            <w:tcW w:w="850"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2.855</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0.874</w:t>
            </w:r>
          </w:p>
        </w:tc>
        <w:tc>
          <w:tcPr>
            <w:tcW w:w="1662" w:type="dxa"/>
            <w:tcBorders>
              <w:top w:val="single" w:sz="4" w:space="0" w:color="auto"/>
              <w:left w:val="single" w:sz="8" w:space="0" w:color="E0E0E0"/>
              <w:bottom w:val="single" w:sz="4" w:space="0" w:color="auto"/>
              <w:right w:val="nil"/>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0.762</w:t>
            </w:r>
          </w:p>
        </w:tc>
      </w:tr>
      <w:tr w:rsidR="00C373BA" w:rsidTr="00625FC7">
        <w:trPr>
          <w:cantSplit/>
          <w:jc w:val="center"/>
        </w:trPr>
        <w:tc>
          <w:tcPr>
            <w:tcW w:w="2344" w:type="dxa"/>
            <w:tcBorders>
              <w:top w:val="single" w:sz="4" w:space="0" w:color="auto"/>
              <w:left w:val="nil"/>
              <w:bottom w:val="single" w:sz="4" w:space="0" w:color="auto"/>
              <w:right w:val="nil"/>
            </w:tcBorders>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CR_</w:t>
            </w:r>
            <w:r>
              <w:rPr>
                <w:rFonts w:ascii="Book Antiqua" w:eastAsia="Calibri" w:hAnsi="Book Antiqua"/>
                <w:szCs w:val="20"/>
                <w:lang w:val="id-ID" w:eastAsia="id-ID"/>
              </w:rPr>
              <w:t>during</w:t>
            </w:r>
            <w:r w:rsidRPr="009B073B">
              <w:rPr>
                <w:rFonts w:ascii="Book Antiqua" w:eastAsia="Calibri" w:hAnsi="Book Antiqua"/>
                <w:szCs w:val="20"/>
                <w:lang w:eastAsia="id-ID"/>
              </w:rPr>
              <w:t xml:space="preserve"> COVID 19</w:t>
            </w:r>
          </w:p>
        </w:tc>
        <w:tc>
          <w:tcPr>
            <w:tcW w:w="567" w:type="dxa"/>
            <w:tcBorders>
              <w:top w:val="single" w:sz="4" w:space="0" w:color="auto"/>
              <w:left w:val="nil"/>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0.113</w:t>
            </w:r>
          </w:p>
        </w:tc>
        <w:tc>
          <w:tcPr>
            <w:tcW w:w="850"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3.456</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0.942</w:t>
            </w:r>
          </w:p>
        </w:tc>
        <w:tc>
          <w:tcPr>
            <w:tcW w:w="1662" w:type="dxa"/>
            <w:tcBorders>
              <w:top w:val="single" w:sz="4" w:space="0" w:color="auto"/>
              <w:left w:val="single" w:sz="8" w:space="0" w:color="E0E0E0"/>
              <w:bottom w:val="single" w:sz="4" w:space="0" w:color="auto"/>
              <w:right w:val="nil"/>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0.941</w:t>
            </w:r>
          </w:p>
        </w:tc>
      </w:tr>
      <w:tr w:rsidR="00C373BA" w:rsidTr="00625FC7">
        <w:trPr>
          <w:cantSplit/>
          <w:jc w:val="center"/>
        </w:trPr>
        <w:tc>
          <w:tcPr>
            <w:tcW w:w="2344" w:type="dxa"/>
            <w:tcBorders>
              <w:top w:val="single" w:sz="4" w:space="0" w:color="auto"/>
              <w:left w:val="nil"/>
              <w:bottom w:val="single" w:sz="4" w:space="0" w:color="auto"/>
              <w:right w:val="nil"/>
            </w:tcBorders>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DER_</w:t>
            </w:r>
            <w:r>
              <w:rPr>
                <w:rFonts w:ascii="Book Antiqua" w:eastAsia="Calibri" w:hAnsi="Book Antiqua"/>
                <w:szCs w:val="20"/>
                <w:lang w:val="id-ID" w:eastAsia="id-ID"/>
              </w:rPr>
              <w:t>before</w:t>
            </w:r>
            <w:r w:rsidRPr="009B073B">
              <w:rPr>
                <w:rFonts w:ascii="Book Antiqua" w:eastAsia="Calibri" w:hAnsi="Book Antiqua"/>
                <w:szCs w:val="20"/>
                <w:lang w:eastAsia="id-ID"/>
              </w:rPr>
              <w:t xml:space="preserve"> COVID 19</w:t>
            </w:r>
          </w:p>
        </w:tc>
        <w:tc>
          <w:tcPr>
            <w:tcW w:w="567" w:type="dxa"/>
            <w:tcBorders>
              <w:top w:val="single" w:sz="4" w:space="0" w:color="auto"/>
              <w:left w:val="nil"/>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0.010</w:t>
            </w:r>
          </w:p>
        </w:tc>
        <w:tc>
          <w:tcPr>
            <w:tcW w:w="850"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3.744</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0.003</w:t>
            </w:r>
          </w:p>
        </w:tc>
        <w:tc>
          <w:tcPr>
            <w:tcW w:w="1662" w:type="dxa"/>
            <w:tcBorders>
              <w:top w:val="single" w:sz="4" w:space="0" w:color="auto"/>
              <w:left w:val="single" w:sz="8" w:space="0" w:color="E0E0E0"/>
              <w:bottom w:val="single" w:sz="4" w:space="0" w:color="auto"/>
              <w:right w:val="nil"/>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53.658</w:t>
            </w:r>
          </w:p>
        </w:tc>
      </w:tr>
      <w:tr w:rsidR="00C373BA" w:rsidTr="00625FC7">
        <w:trPr>
          <w:cantSplit/>
          <w:jc w:val="center"/>
        </w:trPr>
        <w:tc>
          <w:tcPr>
            <w:tcW w:w="2344" w:type="dxa"/>
            <w:tcBorders>
              <w:top w:val="single" w:sz="4" w:space="0" w:color="auto"/>
              <w:left w:val="nil"/>
              <w:bottom w:val="single" w:sz="4" w:space="0" w:color="auto"/>
              <w:right w:val="nil"/>
            </w:tcBorders>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lastRenderedPageBreak/>
              <w:t>DER_</w:t>
            </w:r>
            <w:r>
              <w:rPr>
                <w:rFonts w:ascii="Book Antiqua" w:eastAsia="Calibri" w:hAnsi="Book Antiqua"/>
                <w:szCs w:val="20"/>
                <w:lang w:val="id-ID" w:eastAsia="id-ID"/>
              </w:rPr>
              <w:t>during</w:t>
            </w:r>
            <w:r w:rsidRPr="009B073B">
              <w:rPr>
                <w:rFonts w:ascii="Book Antiqua" w:eastAsia="Calibri" w:hAnsi="Book Antiqua"/>
                <w:szCs w:val="20"/>
                <w:lang w:eastAsia="id-ID"/>
              </w:rPr>
              <w:t xml:space="preserve"> COVID 19</w:t>
            </w:r>
          </w:p>
        </w:tc>
        <w:tc>
          <w:tcPr>
            <w:tcW w:w="567" w:type="dxa"/>
            <w:tcBorders>
              <w:top w:val="single" w:sz="4" w:space="0" w:color="auto"/>
              <w:left w:val="nil"/>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0.006</w:t>
            </w:r>
          </w:p>
        </w:tc>
        <w:tc>
          <w:tcPr>
            <w:tcW w:w="850"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3.563</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1.152</w:t>
            </w:r>
          </w:p>
        </w:tc>
        <w:tc>
          <w:tcPr>
            <w:tcW w:w="1662" w:type="dxa"/>
            <w:tcBorders>
              <w:top w:val="single" w:sz="4" w:space="0" w:color="auto"/>
              <w:left w:val="single" w:sz="8" w:space="0" w:color="E0E0E0"/>
              <w:bottom w:val="single" w:sz="4" w:space="0" w:color="auto"/>
              <w:right w:val="nil"/>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1.995</w:t>
            </w:r>
          </w:p>
        </w:tc>
      </w:tr>
      <w:tr w:rsidR="00C373BA" w:rsidTr="00625FC7">
        <w:trPr>
          <w:cantSplit/>
          <w:jc w:val="center"/>
        </w:trPr>
        <w:tc>
          <w:tcPr>
            <w:tcW w:w="2344" w:type="dxa"/>
            <w:tcBorders>
              <w:top w:val="single" w:sz="4" w:space="0" w:color="auto"/>
              <w:left w:val="nil"/>
              <w:bottom w:val="single" w:sz="4" w:space="0" w:color="auto"/>
              <w:right w:val="nil"/>
            </w:tcBorders>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ROA_</w:t>
            </w:r>
            <w:r>
              <w:rPr>
                <w:rFonts w:ascii="Book Antiqua" w:eastAsia="Calibri" w:hAnsi="Book Antiqua"/>
                <w:szCs w:val="20"/>
                <w:lang w:val="id-ID" w:eastAsia="id-ID"/>
              </w:rPr>
              <w:t>before</w:t>
            </w:r>
            <w:r w:rsidRPr="009B073B">
              <w:rPr>
                <w:rFonts w:ascii="Book Antiqua" w:eastAsia="Calibri" w:hAnsi="Book Antiqua"/>
                <w:szCs w:val="20"/>
                <w:lang w:eastAsia="id-ID"/>
              </w:rPr>
              <w:t xml:space="preserve"> COVID 19</w:t>
            </w:r>
          </w:p>
        </w:tc>
        <w:tc>
          <w:tcPr>
            <w:tcW w:w="567" w:type="dxa"/>
            <w:tcBorders>
              <w:top w:val="single" w:sz="4" w:space="0" w:color="auto"/>
              <w:left w:val="nil"/>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-0.032</w:t>
            </w:r>
          </w:p>
        </w:tc>
        <w:tc>
          <w:tcPr>
            <w:tcW w:w="850"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0.042</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0.010</w:t>
            </w:r>
          </w:p>
        </w:tc>
        <w:tc>
          <w:tcPr>
            <w:tcW w:w="1662" w:type="dxa"/>
            <w:tcBorders>
              <w:top w:val="single" w:sz="4" w:space="0" w:color="auto"/>
              <w:left w:val="single" w:sz="8" w:space="0" w:color="E0E0E0"/>
              <w:bottom w:val="single" w:sz="4" w:space="0" w:color="auto"/>
              <w:right w:val="nil"/>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0.045</w:t>
            </w:r>
          </w:p>
        </w:tc>
      </w:tr>
      <w:tr w:rsidR="00C373BA" w:rsidTr="00625FC7">
        <w:trPr>
          <w:cantSplit/>
          <w:jc w:val="center"/>
        </w:trPr>
        <w:tc>
          <w:tcPr>
            <w:tcW w:w="2344" w:type="dxa"/>
            <w:tcBorders>
              <w:top w:val="single" w:sz="4" w:space="0" w:color="auto"/>
              <w:left w:val="nil"/>
              <w:bottom w:val="single" w:sz="4" w:space="0" w:color="auto"/>
              <w:right w:val="nil"/>
            </w:tcBorders>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ROA_</w:t>
            </w:r>
            <w:r>
              <w:rPr>
                <w:rFonts w:ascii="Book Antiqua" w:eastAsia="Calibri" w:hAnsi="Book Antiqua"/>
                <w:szCs w:val="20"/>
                <w:lang w:val="id-ID" w:eastAsia="id-ID"/>
              </w:rPr>
              <w:t>during</w:t>
            </w:r>
            <w:r w:rsidRPr="009B073B">
              <w:rPr>
                <w:rFonts w:ascii="Book Antiqua" w:eastAsia="Calibri" w:hAnsi="Book Antiqua"/>
                <w:szCs w:val="20"/>
                <w:lang w:eastAsia="id-ID"/>
              </w:rPr>
              <w:t xml:space="preserve"> COVID 19</w:t>
            </w:r>
          </w:p>
        </w:tc>
        <w:tc>
          <w:tcPr>
            <w:tcW w:w="567" w:type="dxa"/>
            <w:tcBorders>
              <w:top w:val="single" w:sz="4" w:space="0" w:color="auto"/>
              <w:left w:val="nil"/>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-0.189</w:t>
            </w:r>
          </w:p>
        </w:tc>
        <w:tc>
          <w:tcPr>
            <w:tcW w:w="850"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0.019</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-0.027</w:t>
            </w:r>
          </w:p>
        </w:tc>
        <w:tc>
          <w:tcPr>
            <w:tcW w:w="1662" w:type="dxa"/>
            <w:tcBorders>
              <w:top w:val="single" w:sz="4" w:space="0" w:color="auto"/>
              <w:left w:val="single" w:sz="8" w:space="0" w:color="E0E0E0"/>
              <w:bottom w:val="single" w:sz="4" w:space="0" w:color="auto"/>
              <w:right w:val="nil"/>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0.056</w:t>
            </w:r>
          </w:p>
        </w:tc>
      </w:tr>
      <w:tr w:rsidR="00C373BA" w:rsidTr="00625FC7">
        <w:trPr>
          <w:cantSplit/>
          <w:jc w:val="center"/>
        </w:trPr>
        <w:tc>
          <w:tcPr>
            <w:tcW w:w="2344" w:type="dxa"/>
            <w:tcBorders>
              <w:top w:val="single" w:sz="4" w:space="0" w:color="auto"/>
              <w:left w:val="nil"/>
              <w:bottom w:val="single" w:sz="4" w:space="0" w:color="auto"/>
              <w:right w:val="nil"/>
            </w:tcBorders>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RTO_</w:t>
            </w:r>
            <w:r>
              <w:rPr>
                <w:rFonts w:ascii="Book Antiqua" w:eastAsia="Calibri" w:hAnsi="Book Antiqua"/>
                <w:szCs w:val="20"/>
                <w:lang w:val="id-ID" w:eastAsia="id-ID"/>
              </w:rPr>
              <w:t>before</w:t>
            </w:r>
            <w:r w:rsidRPr="009B073B">
              <w:rPr>
                <w:rFonts w:ascii="Book Antiqua" w:eastAsia="Calibri" w:hAnsi="Book Antiqua"/>
                <w:szCs w:val="20"/>
                <w:lang w:eastAsia="id-ID"/>
              </w:rPr>
              <w:t xml:space="preserve"> COVID 19</w:t>
            </w:r>
          </w:p>
        </w:tc>
        <w:tc>
          <w:tcPr>
            <w:tcW w:w="567" w:type="dxa"/>
            <w:tcBorders>
              <w:top w:val="single" w:sz="4" w:space="0" w:color="auto"/>
              <w:left w:val="nil"/>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0.409</w:t>
            </w:r>
          </w:p>
        </w:tc>
        <w:tc>
          <w:tcPr>
            <w:tcW w:w="850"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38.168</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7.235</w:t>
            </w:r>
          </w:p>
        </w:tc>
        <w:tc>
          <w:tcPr>
            <w:tcW w:w="1662" w:type="dxa"/>
            <w:tcBorders>
              <w:top w:val="single" w:sz="4" w:space="0" w:color="auto"/>
              <w:left w:val="single" w:sz="8" w:space="0" w:color="E0E0E0"/>
              <w:bottom w:val="single" w:sz="4" w:space="0" w:color="auto"/>
              <w:right w:val="nil"/>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11.163</w:t>
            </w:r>
          </w:p>
        </w:tc>
      </w:tr>
      <w:tr w:rsidR="00C373BA" w:rsidTr="00625FC7">
        <w:trPr>
          <w:cantSplit/>
          <w:jc w:val="center"/>
        </w:trPr>
        <w:tc>
          <w:tcPr>
            <w:tcW w:w="2344" w:type="dxa"/>
            <w:tcBorders>
              <w:top w:val="single" w:sz="4" w:space="0" w:color="auto"/>
              <w:left w:val="nil"/>
              <w:bottom w:val="single" w:sz="4" w:space="0" w:color="auto"/>
              <w:right w:val="nil"/>
            </w:tcBorders>
            <w:shd w:val="clear" w:color="auto" w:fill="auto"/>
          </w:tcPr>
          <w:p w:rsidR="009B073B" w:rsidRPr="009B073B"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RTO_</w:t>
            </w:r>
            <w:r>
              <w:rPr>
                <w:rFonts w:ascii="Book Antiqua" w:eastAsia="Calibri" w:hAnsi="Book Antiqua"/>
                <w:szCs w:val="20"/>
                <w:lang w:val="id-ID" w:eastAsia="id-ID"/>
              </w:rPr>
              <w:t>during</w:t>
            </w:r>
            <w:r w:rsidRPr="009B073B">
              <w:rPr>
                <w:rFonts w:ascii="Book Antiqua" w:eastAsia="Calibri" w:hAnsi="Book Antiqua"/>
                <w:szCs w:val="20"/>
                <w:lang w:eastAsia="id-ID"/>
              </w:rPr>
              <w:t xml:space="preserve"> COVID 19</w:t>
            </w:r>
          </w:p>
        </w:tc>
        <w:tc>
          <w:tcPr>
            <w:tcW w:w="567" w:type="dxa"/>
            <w:tcBorders>
              <w:top w:val="single" w:sz="4" w:space="0" w:color="auto"/>
              <w:left w:val="nil"/>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24</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1.117</w:t>
            </w:r>
          </w:p>
        </w:tc>
        <w:tc>
          <w:tcPr>
            <w:tcW w:w="850"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23.009</w:t>
            </w:r>
          </w:p>
        </w:tc>
        <w:tc>
          <w:tcPr>
            <w:tcW w:w="851" w:type="dxa"/>
            <w:tcBorders>
              <w:top w:val="single" w:sz="4" w:space="0" w:color="auto"/>
              <w:left w:val="single" w:sz="8" w:space="0" w:color="E0E0E0"/>
              <w:bottom w:val="single" w:sz="4" w:space="0" w:color="auto"/>
              <w:right w:val="single" w:sz="8" w:space="0" w:color="E0E0E0"/>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6.188</w:t>
            </w:r>
          </w:p>
        </w:tc>
        <w:tc>
          <w:tcPr>
            <w:tcW w:w="1662" w:type="dxa"/>
            <w:tcBorders>
              <w:top w:val="single" w:sz="4" w:space="0" w:color="auto"/>
              <w:left w:val="single" w:sz="8" w:space="0" w:color="E0E0E0"/>
              <w:bottom w:val="single" w:sz="4" w:space="0" w:color="auto"/>
              <w:right w:val="nil"/>
            </w:tcBorders>
            <w:shd w:val="clear" w:color="auto" w:fill="FFFFFF"/>
          </w:tcPr>
          <w:p w:rsidR="009B073B" w:rsidRPr="009B073B" w:rsidRDefault="00E90A84" w:rsidP="00625FC7">
            <w:pPr>
              <w:widowControl/>
              <w:autoSpaceDE w:val="0"/>
              <w:autoSpaceDN w:val="0"/>
              <w:adjustRightInd w:val="0"/>
              <w:ind w:left="60" w:right="60"/>
              <w:jc w:val="left"/>
              <w:rPr>
                <w:rFonts w:ascii="Book Antiqua" w:eastAsia="Calibri" w:hAnsi="Book Antiqua"/>
                <w:szCs w:val="20"/>
                <w:lang w:eastAsia="id-ID"/>
              </w:rPr>
            </w:pPr>
            <w:r w:rsidRPr="009B073B">
              <w:rPr>
                <w:rFonts w:ascii="Book Antiqua" w:eastAsia="Calibri" w:hAnsi="Book Antiqua"/>
                <w:szCs w:val="20"/>
                <w:lang w:eastAsia="id-ID"/>
              </w:rPr>
              <w:t>6.001</w:t>
            </w:r>
          </w:p>
        </w:tc>
      </w:tr>
    </w:tbl>
    <w:p w:rsidR="009B073B" w:rsidRDefault="009B073B" w:rsidP="003419A2">
      <w:pPr>
        <w:pStyle w:val="Ventura-Content"/>
        <w:ind w:firstLine="0"/>
        <w:rPr>
          <w:color w:val="000000"/>
          <w:szCs w:val="20"/>
          <w:lang w:val="id-ID"/>
        </w:rPr>
      </w:pPr>
    </w:p>
    <w:p w:rsidR="003419A2" w:rsidRDefault="00E90A84" w:rsidP="009B073B">
      <w:pPr>
        <w:pStyle w:val="Ventura-Content"/>
        <w:ind w:firstLine="709"/>
        <w:rPr>
          <w:color w:val="000000"/>
          <w:szCs w:val="20"/>
          <w:lang w:val="id-ID"/>
        </w:rPr>
      </w:pPr>
      <w:r w:rsidRPr="00256EEC">
        <w:rPr>
          <w:color w:val="000000"/>
          <w:szCs w:val="20"/>
        </w:rPr>
        <w:t>Table 13 shows that 24 companies in the Infrastructure, Utilities, and Transportation sector</w:t>
      </w:r>
      <w:r>
        <w:rPr>
          <w:color w:val="000000"/>
          <w:szCs w:val="20"/>
          <w:lang w:val="id-ID"/>
        </w:rPr>
        <w:t>s</w:t>
      </w:r>
      <w:r w:rsidRPr="00256EEC">
        <w:rPr>
          <w:color w:val="000000"/>
          <w:szCs w:val="20"/>
        </w:rPr>
        <w:t xml:space="preserve"> experienced an increase in the current ratio's average value from 0.874 to 0.942. The average value of DER increased from 0.003 to 1.152. The average value of ROA decreased from 0.010 to -0.027, and the average value of receivable turnover decreased from 7.235 to 6.188. </w:t>
      </w:r>
    </w:p>
    <w:p w:rsidR="003419A2" w:rsidRDefault="003419A2" w:rsidP="003419A2">
      <w:pPr>
        <w:pStyle w:val="Ventura-Content"/>
        <w:ind w:firstLine="0"/>
        <w:rPr>
          <w:color w:val="000000"/>
          <w:szCs w:val="20"/>
          <w:lang w:val="id-ID"/>
        </w:rPr>
      </w:pPr>
    </w:p>
    <w:p w:rsidR="00625FC7" w:rsidRDefault="00E90A84" w:rsidP="00A15CBD">
      <w:pPr>
        <w:pStyle w:val="Ventura-Content"/>
        <w:ind w:firstLine="0"/>
        <w:jc w:val="center"/>
        <w:rPr>
          <w:color w:val="000000"/>
          <w:szCs w:val="20"/>
        </w:rPr>
      </w:pPr>
      <w:r w:rsidRPr="00256EEC">
        <w:rPr>
          <w:color w:val="000000"/>
          <w:szCs w:val="20"/>
        </w:rPr>
        <w:t>Table 14</w:t>
      </w:r>
      <w:r>
        <w:rPr>
          <w:color w:val="000000"/>
          <w:szCs w:val="20"/>
        </w:rPr>
        <w:t xml:space="preserve">. </w:t>
      </w:r>
      <w:r w:rsidRPr="00256EEC">
        <w:rPr>
          <w:color w:val="000000"/>
          <w:szCs w:val="20"/>
        </w:rPr>
        <w:t xml:space="preserve">Changes in Average Value of Current Ratio, DER, ROA, and </w:t>
      </w:r>
    </w:p>
    <w:p w:rsidR="003419A2" w:rsidRPr="00A15CBD" w:rsidRDefault="00E90A84" w:rsidP="00A15CBD">
      <w:pPr>
        <w:pStyle w:val="Ventura-Content"/>
        <w:ind w:firstLine="0"/>
        <w:jc w:val="center"/>
        <w:rPr>
          <w:color w:val="000000"/>
          <w:szCs w:val="20"/>
          <w:lang w:val="id-ID"/>
        </w:rPr>
      </w:pPr>
      <w:r w:rsidRPr="00256EEC">
        <w:rPr>
          <w:color w:val="000000"/>
          <w:szCs w:val="20"/>
        </w:rPr>
        <w:t>Receivable Turnover</w:t>
      </w:r>
      <w:r>
        <w:rPr>
          <w:color w:val="000000"/>
          <w:szCs w:val="20"/>
          <w:lang w:val="id-ID"/>
        </w:rPr>
        <w:t xml:space="preserve"> in</w:t>
      </w:r>
      <w:r w:rsidR="00A15CBD">
        <w:rPr>
          <w:color w:val="000000"/>
          <w:szCs w:val="20"/>
        </w:rPr>
        <w:t xml:space="preserve"> </w:t>
      </w:r>
      <w:r w:rsidR="00A15CBD">
        <w:rPr>
          <w:color w:val="000000"/>
          <w:szCs w:val="20"/>
          <w:lang w:val="id-ID"/>
        </w:rPr>
        <w:t>the Sector of Finance</w:t>
      </w:r>
    </w:p>
    <w:tbl>
      <w:tblPr>
        <w:tblW w:w="708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324"/>
        <w:gridCol w:w="567"/>
        <w:gridCol w:w="851"/>
        <w:gridCol w:w="850"/>
        <w:gridCol w:w="851"/>
        <w:gridCol w:w="1642"/>
      </w:tblGrid>
      <w:tr w:rsidR="00C373BA" w:rsidTr="00625FC7">
        <w:trPr>
          <w:cantSplit/>
          <w:trHeight w:val="242"/>
          <w:jc w:val="center"/>
        </w:trPr>
        <w:tc>
          <w:tcPr>
            <w:tcW w:w="7085" w:type="dxa"/>
            <w:gridSpan w:val="6"/>
            <w:shd w:val="clear" w:color="auto" w:fill="FFFFFF"/>
            <w:vAlign w:val="center"/>
          </w:tcPr>
          <w:p w:rsidR="00A15CBD" w:rsidRPr="00A15CBD" w:rsidRDefault="00E90A84" w:rsidP="005F20BA">
            <w:pPr>
              <w:widowControl/>
              <w:autoSpaceDE w:val="0"/>
              <w:autoSpaceDN w:val="0"/>
              <w:adjustRightInd w:val="0"/>
              <w:ind w:left="60" w:right="60"/>
              <w:jc w:val="center"/>
              <w:rPr>
                <w:rFonts w:ascii="Book Antiqua" w:eastAsia="Calibri" w:hAnsi="Book Antiqua"/>
                <w:szCs w:val="20"/>
                <w:lang w:eastAsia="id-ID"/>
              </w:rPr>
            </w:pPr>
            <w:r w:rsidRPr="00A15CBD">
              <w:rPr>
                <w:rFonts w:ascii="Book Antiqua" w:eastAsia="Calibri" w:hAnsi="Book Antiqua"/>
                <w:b/>
                <w:bCs/>
                <w:szCs w:val="20"/>
                <w:lang w:eastAsia="id-ID"/>
              </w:rPr>
              <w:t>Descriptive Statistics</w:t>
            </w:r>
          </w:p>
        </w:tc>
      </w:tr>
      <w:tr w:rsidR="00C373BA" w:rsidTr="00625FC7">
        <w:trPr>
          <w:cantSplit/>
          <w:trHeight w:val="254"/>
          <w:jc w:val="center"/>
        </w:trPr>
        <w:tc>
          <w:tcPr>
            <w:tcW w:w="2324" w:type="dxa"/>
            <w:shd w:val="clear" w:color="auto" w:fill="FFFFFF"/>
            <w:vAlign w:val="bottom"/>
          </w:tcPr>
          <w:p w:rsidR="00A15CBD" w:rsidRPr="00A15CBD" w:rsidRDefault="00A15CBD" w:rsidP="005F20BA">
            <w:pPr>
              <w:widowControl/>
              <w:autoSpaceDE w:val="0"/>
              <w:autoSpaceDN w:val="0"/>
              <w:adjustRightInd w:val="0"/>
              <w:rPr>
                <w:rFonts w:ascii="Book Antiqua" w:eastAsia="Calibri" w:hAnsi="Book Antiqua"/>
                <w:szCs w:val="20"/>
                <w:lang w:eastAsia="id-ID"/>
              </w:rPr>
            </w:pPr>
          </w:p>
        </w:tc>
        <w:tc>
          <w:tcPr>
            <w:tcW w:w="567" w:type="dxa"/>
            <w:tcBorders>
              <w:top w:val="nil"/>
              <w:bottom w:val="single" w:sz="4" w:space="0" w:color="auto"/>
            </w:tcBorders>
            <w:shd w:val="clear" w:color="auto" w:fill="FFFFFF"/>
            <w:vAlign w:val="bottom"/>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N</w:t>
            </w:r>
          </w:p>
        </w:tc>
        <w:tc>
          <w:tcPr>
            <w:tcW w:w="851" w:type="dxa"/>
            <w:tcBorders>
              <w:top w:val="nil"/>
              <w:bottom w:val="single" w:sz="4" w:space="0" w:color="auto"/>
            </w:tcBorders>
            <w:shd w:val="clear" w:color="auto" w:fill="FFFFFF"/>
            <w:vAlign w:val="bottom"/>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Min</w:t>
            </w:r>
          </w:p>
        </w:tc>
        <w:tc>
          <w:tcPr>
            <w:tcW w:w="850" w:type="dxa"/>
            <w:tcBorders>
              <w:top w:val="nil"/>
              <w:bottom w:val="single" w:sz="4" w:space="0" w:color="auto"/>
            </w:tcBorders>
            <w:shd w:val="clear" w:color="auto" w:fill="FFFFFF"/>
            <w:vAlign w:val="bottom"/>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Max</w:t>
            </w:r>
          </w:p>
        </w:tc>
        <w:tc>
          <w:tcPr>
            <w:tcW w:w="851" w:type="dxa"/>
            <w:tcBorders>
              <w:top w:val="nil"/>
              <w:bottom w:val="single" w:sz="4" w:space="0" w:color="auto"/>
            </w:tcBorders>
            <w:shd w:val="clear" w:color="auto" w:fill="FFFFFF"/>
            <w:vAlign w:val="bottom"/>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Mean</w:t>
            </w:r>
          </w:p>
        </w:tc>
        <w:tc>
          <w:tcPr>
            <w:tcW w:w="1642" w:type="dxa"/>
            <w:tcBorders>
              <w:top w:val="nil"/>
              <w:bottom w:val="single" w:sz="4" w:space="0" w:color="auto"/>
            </w:tcBorders>
            <w:shd w:val="clear" w:color="auto" w:fill="FFFFFF"/>
            <w:vAlign w:val="bottom"/>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Std. Deviation</w:t>
            </w:r>
          </w:p>
        </w:tc>
      </w:tr>
      <w:tr w:rsidR="00C373BA" w:rsidTr="00625FC7">
        <w:trPr>
          <w:cantSplit/>
          <w:trHeight w:val="89"/>
          <w:jc w:val="center"/>
        </w:trPr>
        <w:tc>
          <w:tcPr>
            <w:tcW w:w="2324" w:type="dxa"/>
            <w:tcBorders>
              <w:top w:val="single" w:sz="4" w:space="0" w:color="auto"/>
            </w:tcBorders>
            <w:shd w:val="clear" w:color="auto" w:fill="auto"/>
          </w:tcPr>
          <w:p w:rsidR="00A15CBD" w:rsidRPr="00A15CBD"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CR_</w:t>
            </w:r>
            <w:r>
              <w:rPr>
                <w:rFonts w:ascii="Book Antiqua" w:eastAsia="Calibri" w:hAnsi="Book Antiqua"/>
                <w:szCs w:val="20"/>
                <w:lang w:val="id-ID" w:eastAsia="id-ID"/>
              </w:rPr>
              <w:t>before</w:t>
            </w:r>
            <w:r w:rsidRPr="00A15CBD">
              <w:rPr>
                <w:rFonts w:ascii="Book Antiqua" w:eastAsia="Calibri" w:hAnsi="Book Antiqua"/>
                <w:szCs w:val="20"/>
                <w:lang w:eastAsia="id-ID"/>
              </w:rPr>
              <w:t xml:space="preserve"> COVID 19</w:t>
            </w:r>
          </w:p>
        </w:tc>
        <w:tc>
          <w:tcPr>
            <w:tcW w:w="567" w:type="dxa"/>
            <w:tcBorders>
              <w:top w:val="single" w:sz="4" w:space="0" w:color="auto"/>
            </w:tcBorders>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33</w:t>
            </w:r>
          </w:p>
        </w:tc>
        <w:tc>
          <w:tcPr>
            <w:tcW w:w="851" w:type="dxa"/>
            <w:tcBorders>
              <w:top w:val="single" w:sz="4" w:space="0" w:color="auto"/>
            </w:tcBorders>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1.077</w:t>
            </w:r>
          </w:p>
        </w:tc>
        <w:tc>
          <w:tcPr>
            <w:tcW w:w="850" w:type="dxa"/>
            <w:tcBorders>
              <w:top w:val="single" w:sz="4" w:space="0" w:color="auto"/>
            </w:tcBorders>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257.740</w:t>
            </w:r>
          </w:p>
        </w:tc>
        <w:tc>
          <w:tcPr>
            <w:tcW w:w="851" w:type="dxa"/>
            <w:tcBorders>
              <w:top w:val="single" w:sz="4" w:space="0" w:color="auto"/>
            </w:tcBorders>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36.582</w:t>
            </w:r>
          </w:p>
        </w:tc>
        <w:tc>
          <w:tcPr>
            <w:tcW w:w="1642" w:type="dxa"/>
            <w:tcBorders>
              <w:top w:val="single" w:sz="4" w:space="0" w:color="auto"/>
            </w:tcBorders>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71.507</w:t>
            </w:r>
          </w:p>
        </w:tc>
      </w:tr>
      <w:tr w:rsidR="00C373BA" w:rsidTr="00625FC7">
        <w:trPr>
          <w:cantSplit/>
          <w:trHeight w:val="215"/>
          <w:jc w:val="center"/>
        </w:trPr>
        <w:tc>
          <w:tcPr>
            <w:tcW w:w="2324" w:type="dxa"/>
            <w:shd w:val="clear" w:color="auto" w:fill="auto"/>
          </w:tcPr>
          <w:p w:rsidR="00A15CBD" w:rsidRPr="00A15CBD"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CR_</w:t>
            </w:r>
            <w:r>
              <w:rPr>
                <w:rFonts w:ascii="Book Antiqua" w:eastAsia="Calibri" w:hAnsi="Book Antiqua"/>
                <w:szCs w:val="20"/>
                <w:lang w:val="id-ID" w:eastAsia="id-ID"/>
              </w:rPr>
              <w:t>during</w:t>
            </w:r>
            <w:r w:rsidRPr="00A15CBD">
              <w:rPr>
                <w:rFonts w:ascii="Book Antiqua" w:eastAsia="Calibri" w:hAnsi="Book Antiqua"/>
                <w:szCs w:val="20"/>
                <w:lang w:eastAsia="id-ID"/>
              </w:rPr>
              <w:t xml:space="preserve"> COVID 19</w:t>
            </w:r>
          </w:p>
        </w:tc>
        <w:tc>
          <w:tcPr>
            <w:tcW w:w="567"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33</w:t>
            </w:r>
          </w:p>
        </w:tc>
        <w:tc>
          <w:tcPr>
            <w:tcW w:w="851"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1.015</w:t>
            </w:r>
          </w:p>
        </w:tc>
        <w:tc>
          <w:tcPr>
            <w:tcW w:w="850"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120.045</w:t>
            </w:r>
          </w:p>
        </w:tc>
        <w:tc>
          <w:tcPr>
            <w:tcW w:w="851"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20.080</w:t>
            </w:r>
          </w:p>
        </w:tc>
        <w:tc>
          <w:tcPr>
            <w:tcW w:w="1642"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41.842</w:t>
            </w:r>
          </w:p>
        </w:tc>
      </w:tr>
      <w:tr w:rsidR="00C373BA" w:rsidTr="00625FC7">
        <w:trPr>
          <w:cantSplit/>
          <w:trHeight w:val="242"/>
          <w:jc w:val="center"/>
        </w:trPr>
        <w:tc>
          <w:tcPr>
            <w:tcW w:w="2324" w:type="dxa"/>
            <w:shd w:val="clear" w:color="auto" w:fill="auto"/>
          </w:tcPr>
          <w:p w:rsidR="00A15CBD" w:rsidRPr="00A15CBD"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DER_</w:t>
            </w:r>
            <w:r>
              <w:rPr>
                <w:rFonts w:ascii="Book Antiqua" w:eastAsia="Calibri" w:hAnsi="Book Antiqua"/>
                <w:szCs w:val="20"/>
                <w:lang w:val="id-ID" w:eastAsia="id-ID"/>
              </w:rPr>
              <w:t>before</w:t>
            </w:r>
            <w:r w:rsidRPr="00A15CBD">
              <w:rPr>
                <w:rFonts w:ascii="Book Antiqua" w:eastAsia="Calibri" w:hAnsi="Book Antiqua"/>
                <w:szCs w:val="20"/>
                <w:lang w:eastAsia="id-ID"/>
              </w:rPr>
              <w:t xml:space="preserve"> COVID 19</w:t>
            </w:r>
          </w:p>
        </w:tc>
        <w:tc>
          <w:tcPr>
            <w:tcW w:w="567"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33</w:t>
            </w:r>
          </w:p>
        </w:tc>
        <w:tc>
          <w:tcPr>
            <w:tcW w:w="851"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0.010</w:t>
            </w:r>
          </w:p>
        </w:tc>
        <w:tc>
          <w:tcPr>
            <w:tcW w:w="850"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10.535</w:t>
            </w:r>
          </w:p>
        </w:tc>
        <w:tc>
          <w:tcPr>
            <w:tcW w:w="851"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2.609</w:t>
            </w:r>
          </w:p>
        </w:tc>
        <w:tc>
          <w:tcPr>
            <w:tcW w:w="1642"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2.791</w:t>
            </w:r>
          </w:p>
        </w:tc>
      </w:tr>
      <w:tr w:rsidR="00C373BA" w:rsidTr="00625FC7">
        <w:trPr>
          <w:cantSplit/>
          <w:trHeight w:val="254"/>
          <w:jc w:val="center"/>
        </w:trPr>
        <w:tc>
          <w:tcPr>
            <w:tcW w:w="2324" w:type="dxa"/>
            <w:shd w:val="clear" w:color="auto" w:fill="auto"/>
          </w:tcPr>
          <w:p w:rsidR="00A15CBD" w:rsidRPr="00A15CBD"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DER_</w:t>
            </w:r>
            <w:r>
              <w:rPr>
                <w:rFonts w:ascii="Book Antiqua" w:eastAsia="Calibri" w:hAnsi="Book Antiqua"/>
                <w:szCs w:val="20"/>
                <w:lang w:val="id-ID" w:eastAsia="id-ID"/>
              </w:rPr>
              <w:t>during</w:t>
            </w:r>
            <w:r w:rsidRPr="00A15CBD">
              <w:rPr>
                <w:rFonts w:ascii="Book Antiqua" w:eastAsia="Calibri" w:hAnsi="Book Antiqua"/>
                <w:szCs w:val="20"/>
                <w:lang w:eastAsia="id-ID"/>
              </w:rPr>
              <w:t xml:space="preserve"> COVID 19</w:t>
            </w:r>
          </w:p>
        </w:tc>
        <w:tc>
          <w:tcPr>
            <w:tcW w:w="567"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33</w:t>
            </w:r>
          </w:p>
        </w:tc>
        <w:tc>
          <w:tcPr>
            <w:tcW w:w="851"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0.005</w:t>
            </w:r>
          </w:p>
        </w:tc>
        <w:tc>
          <w:tcPr>
            <w:tcW w:w="850"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16.395</w:t>
            </w:r>
          </w:p>
        </w:tc>
        <w:tc>
          <w:tcPr>
            <w:tcW w:w="851"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3.131</w:t>
            </w:r>
          </w:p>
        </w:tc>
        <w:tc>
          <w:tcPr>
            <w:tcW w:w="1642"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4.131</w:t>
            </w:r>
          </w:p>
        </w:tc>
      </w:tr>
      <w:tr w:rsidR="00C373BA" w:rsidTr="00625FC7">
        <w:trPr>
          <w:cantSplit/>
          <w:trHeight w:val="254"/>
          <w:jc w:val="center"/>
        </w:trPr>
        <w:tc>
          <w:tcPr>
            <w:tcW w:w="2324" w:type="dxa"/>
            <w:shd w:val="clear" w:color="auto" w:fill="auto"/>
          </w:tcPr>
          <w:p w:rsidR="00A15CBD" w:rsidRPr="00A15CBD"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ROA_</w:t>
            </w:r>
            <w:r>
              <w:rPr>
                <w:rFonts w:ascii="Book Antiqua" w:eastAsia="Calibri" w:hAnsi="Book Antiqua"/>
                <w:szCs w:val="20"/>
                <w:lang w:val="id-ID" w:eastAsia="id-ID"/>
              </w:rPr>
              <w:t>before</w:t>
            </w:r>
            <w:r w:rsidRPr="00A15CBD">
              <w:rPr>
                <w:rFonts w:ascii="Book Antiqua" w:eastAsia="Calibri" w:hAnsi="Book Antiqua"/>
                <w:szCs w:val="20"/>
                <w:lang w:eastAsia="id-ID"/>
              </w:rPr>
              <w:t xml:space="preserve"> COVID 19</w:t>
            </w:r>
          </w:p>
        </w:tc>
        <w:tc>
          <w:tcPr>
            <w:tcW w:w="567"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33</w:t>
            </w:r>
          </w:p>
        </w:tc>
        <w:tc>
          <w:tcPr>
            <w:tcW w:w="851"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-0.022</w:t>
            </w:r>
          </w:p>
        </w:tc>
        <w:tc>
          <w:tcPr>
            <w:tcW w:w="850"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0.047</w:t>
            </w:r>
          </w:p>
        </w:tc>
        <w:tc>
          <w:tcPr>
            <w:tcW w:w="851"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0.006</w:t>
            </w:r>
          </w:p>
        </w:tc>
        <w:tc>
          <w:tcPr>
            <w:tcW w:w="1642"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0.015</w:t>
            </w:r>
          </w:p>
        </w:tc>
      </w:tr>
      <w:tr w:rsidR="00C373BA" w:rsidTr="00625FC7">
        <w:trPr>
          <w:cantSplit/>
          <w:trHeight w:val="143"/>
          <w:jc w:val="center"/>
        </w:trPr>
        <w:tc>
          <w:tcPr>
            <w:tcW w:w="2324" w:type="dxa"/>
            <w:shd w:val="clear" w:color="auto" w:fill="auto"/>
          </w:tcPr>
          <w:p w:rsidR="00A15CBD" w:rsidRPr="00A15CBD"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ROA_</w:t>
            </w:r>
            <w:r>
              <w:rPr>
                <w:rFonts w:ascii="Book Antiqua" w:eastAsia="Calibri" w:hAnsi="Book Antiqua"/>
                <w:szCs w:val="20"/>
                <w:lang w:val="id-ID" w:eastAsia="id-ID"/>
              </w:rPr>
              <w:t>during</w:t>
            </w:r>
            <w:r w:rsidRPr="00A15CBD">
              <w:rPr>
                <w:rFonts w:ascii="Book Antiqua" w:eastAsia="Calibri" w:hAnsi="Book Antiqua"/>
                <w:szCs w:val="20"/>
                <w:lang w:eastAsia="id-ID"/>
              </w:rPr>
              <w:t xml:space="preserve"> COVID 19</w:t>
            </w:r>
          </w:p>
        </w:tc>
        <w:tc>
          <w:tcPr>
            <w:tcW w:w="567"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33</w:t>
            </w:r>
          </w:p>
        </w:tc>
        <w:tc>
          <w:tcPr>
            <w:tcW w:w="851"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-0.270</w:t>
            </w:r>
          </w:p>
        </w:tc>
        <w:tc>
          <w:tcPr>
            <w:tcW w:w="850"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0.021</w:t>
            </w:r>
          </w:p>
        </w:tc>
        <w:tc>
          <w:tcPr>
            <w:tcW w:w="851"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-0.017</w:t>
            </w:r>
          </w:p>
        </w:tc>
        <w:tc>
          <w:tcPr>
            <w:tcW w:w="1642"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0.076</w:t>
            </w:r>
          </w:p>
        </w:tc>
      </w:tr>
      <w:tr w:rsidR="00C373BA" w:rsidTr="00625FC7">
        <w:trPr>
          <w:cantSplit/>
          <w:trHeight w:val="254"/>
          <w:jc w:val="center"/>
        </w:trPr>
        <w:tc>
          <w:tcPr>
            <w:tcW w:w="2324" w:type="dxa"/>
            <w:shd w:val="clear" w:color="auto" w:fill="auto"/>
          </w:tcPr>
          <w:p w:rsidR="00A15CBD" w:rsidRPr="00A15CBD"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RTO_</w:t>
            </w:r>
            <w:r>
              <w:rPr>
                <w:rFonts w:ascii="Book Antiqua" w:eastAsia="Calibri" w:hAnsi="Book Antiqua"/>
                <w:szCs w:val="20"/>
                <w:lang w:val="id-ID" w:eastAsia="id-ID"/>
              </w:rPr>
              <w:t>before</w:t>
            </w:r>
            <w:r w:rsidRPr="00A15CBD">
              <w:rPr>
                <w:rFonts w:ascii="Book Antiqua" w:eastAsia="Calibri" w:hAnsi="Book Antiqua"/>
                <w:szCs w:val="20"/>
                <w:lang w:eastAsia="id-ID"/>
              </w:rPr>
              <w:t xml:space="preserve"> COVID 19</w:t>
            </w:r>
          </w:p>
        </w:tc>
        <w:tc>
          <w:tcPr>
            <w:tcW w:w="567"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33</w:t>
            </w:r>
          </w:p>
        </w:tc>
        <w:tc>
          <w:tcPr>
            <w:tcW w:w="851"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0.002</w:t>
            </w:r>
          </w:p>
        </w:tc>
        <w:tc>
          <w:tcPr>
            <w:tcW w:w="850"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2.618</w:t>
            </w:r>
          </w:p>
        </w:tc>
        <w:tc>
          <w:tcPr>
            <w:tcW w:w="851"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0.514</w:t>
            </w:r>
          </w:p>
        </w:tc>
        <w:tc>
          <w:tcPr>
            <w:tcW w:w="1642"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0.752</w:t>
            </w:r>
          </w:p>
        </w:tc>
      </w:tr>
      <w:tr w:rsidR="00C373BA" w:rsidTr="00625FC7">
        <w:trPr>
          <w:cantSplit/>
          <w:trHeight w:val="242"/>
          <w:jc w:val="center"/>
        </w:trPr>
        <w:tc>
          <w:tcPr>
            <w:tcW w:w="2324" w:type="dxa"/>
            <w:shd w:val="clear" w:color="auto" w:fill="auto"/>
          </w:tcPr>
          <w:p w:rsidR="00A15CBD" w:rsidRPr="00A15CBD"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RTO_</w:t>
            </w:r>
            <w:r>
              <w:rPr>
                <w:rFonts w:ascii="Book Antiqua" w:eastAsia="Calibri" w:hAnsi="Book Antiqua"/>
                <w:szCs w:val="20"/>
                <w:lang w:val="id-ID" w:eastAsia="id-ID"/>
              </w:rPr>
              <w:t>during</w:t>
            </w:r>
            <w:r w:rsidRPr="00A15CBD">
              <w:rPr>
                <w:rFonts w:ascii="Book Antiqua" w:eastAsia="Calibri" w:hAnsi="Book Antiqua"/>
                <w:szCs w:val="20"/>
                <w:lang w:eastAsia="id-ID"/>
              </w:rPr>
              <w:t xml:space="preserve"> COVID 19</w:t>
            </w:r>
          </w:p>
        </w:tc>
        <w:tc>
          <w:tcPr>
            <w:tcW w:w="567"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33</w:t>
            </w:r>
          </w:p>
        </w:tc>
        <w:tc>
          <w:tcPr>
            <w:tcW w:w="851"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0.001</w:t>
            </w:r>
          </w:p>
        </w:tc>
        <w:tc>
          <w:tcPr>
            <w:tcW w:w="850"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14.303</w:t>
            </w:r>
          </w:p>
        </w:tc>
        <w:tc>
          <w:tcPr>
            <w:tcW w:w="851"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1.793</w:t>
            </w:r>
          </w:p>
        </w:tc>
        <w:tc>
          <w:tcPr>
            <w:tcW w:w="1642" w:type="dxa"/>
            <w:shd w:val="clear" w:color="auto" w:fill="FFFFFF"/>
          </w:tcPr>
          <w:p w:rsidR="00A15CBD" w:rsidRPr="00A15CBD" w:rsidRDefault="00E90A84" w:rsidP="00625FC7">
            <w:pPr>
              <w:widowControl/>
              <w:autoSpaceDE w:val="0"/>
              <w:autoSpaceDN w:val="0"/>
              <w:adjustRightInd w:val="0"/>
              <w:ind w:left="60" w:right="60"/>
              <w:jc w:val="left"/>
              <w:rPr>
                <w:rFonts w:ascii="Book Antiqua" w:eastAsia="Calibri" w:hAnsi="Book Antiqua"/>
                <w:szCs w:val="20"/>
                <w:lang w:eastAsia="id-ID"/>
              </w:rPr>
            </w:pPr>
            <w:r w:rsidRPr="00A15CBD">
              <w:rPr>
                <w:rFonts w:ascii="Book Antiqua" w:eastAsia="Calibri" w:hAnsi="Book Antiqua"/>
                <w:szCs w:val="20"/>
                <w:lang w:eastAsia="id-ID"/>
              </w:rPr>
              <w:t>3.778</w:t>
            </w:r>
          </w:p>
        </w:tc>
      </w:tr>
    </w:tbl>
    <w:p w:rsidR="003419A2" w:rsidRDefault="003419A2" w:rsidP="003419A2">
      <w:pPr>
        <w:pStyle w:val="Ventura-Content"/>
        <w:ind w:firstLine="0"/>
        <w:rPr>
          <w:color w:val="000000"/>
          <w:szCs w:val="20"/>
          <w:lang w:val="id-ID"/>
        </w:rPr>
      </w:pPr>
    </w:p>
    <w:p w:rsidR="003419A2" w:rsidRDefault="00E90A84" w:rsidP="00A15CBD">
      <w:pPr>
        <w:pStyle w:val="Ventura-Content"/>
        <w:ind w:firstLine="709"/>
        <w:rPr>
          <w:color w:val="000000"/>
          <w:szCs w:val="20"/>
          <w:lang w:val="id-ID"/>
        </w:rPr>
      </w:pPr>
      <w:r>
        <w:rPr>
          <w:color w:val="000000"/>
          <w:szCs w:val="20"/>
        </w:rPr>
        <w:t>Table 14 shows that thirty-three</w:t>
      </w:r>
      <w:r w:rsidR="002A42E0" w:rsidRPr="00256EEC">
        <w:rPr>
          <w:color w:val="000000"/>
          <w:szCs w:val="20"/>
        </w:rPr>
        <w:t xml:space="preserve"> companies in the finance sector experienced a decrease in the current ratio's average value from 36.582 to 20.080. The average value of DER increased from 2.609 to 3.131. The average value of ROA decreased from 0.006 to -0.017. The average value of the receivable turnover increased from 0.514 to 1.793. </w:t>
      </w:r>
    </w:p>
    <w:p w:rsidR="00625FC7" w:rsidRDefault="00E90A84" w:rsidP="00A15CBD">
      <w:pPr>
        <w:pStyle w:val="Ventura-Content"/>
        <w:ind w:firstLine="0"/>
        <w:jc w:val="center"/>
        <w:rPr>
          <w:color w:val="000000"/>
          <w:szCs w:val="20"/>
          <w:lang w:val="id-ID"/>
        </w:rPr>
      </w:pPr>
      <w:r w:rsidRPr="00A15CBD">
        <w:rPr>
          <w:color w:val="000000"/>
          <w:szCs w:val="20"/>
          <w:lang w:val="id-ID"/>
        </w:rPr>
        <w:t>Table 15</w:t>
      </w:r>
      <w:r>
        <w:rPr>
          <w:color w:val="000000"/>
          <w:szCs w:val="20"/>
        </w:rPr>
        <w:t xml:space="preserve">. </w:t>
      </w:r>
      <w:r w:rsidRPr="00A15CBD">
        <w:rPr>
          <w:color w:val="000000"/>
          <w:szCs w:val="20"/>
          <w:lang w:val="id-ID"/>
        </w:rPr>
        <w:t xml:space="preserve">Changes in the Average Value of Current Ratio, DER, ROA, </w:t>
      </w:r>
      <w:r>
        <w:rPr>
          <w:color w:val="000000"/>
          <w:szCs w:val="20"/>
          <w:lang w:val="id-ID"/>
        </w:rPr>
        <w:t>and</w:t>
      </w:r>
    </w:p>
    <w:p w:rsidR="00A15CBD" w:rsidRDefault="00E90A84" w:rsidP="00A15CBD">
      <w:pPr>
        <w:pStyle w:val="Ventura-Content"/>
        <w:ind w:firstLine="0"/>
        <w:jc w:val="center"/>
        <w:rPr>
          <w:color w:val="000000"/>
          <w:szCs w:val="20"/>
          <w:lang w:val="id-ID"/>
        </w:rPr>
      </w:pPr>
      <w:r w:rsidRPr="00A15CBD">
        <w:rPr>
          <w:color w:val="000000"/>
          <w:szCs w:val="20"/>
          <w:lang w:val="id-ID"/>
        </w:rPr>
        <w:t>Receivable Turnover</w:t>
      </w:r>
      <w:r w:rsidR="00625FC7">
        <w:rPr>
          <w:color w:val="000000"/>
          <w:szCs w:val="20"/>
        </w:rPr>
        <w:t xml:space="preserve"> </w:t>
      </w:r>
      <w:r w:rsidRPr="00A15CBD">
        <w:rPr>
          <w:color w:val="000000"/>
          <w:szCs w:val="20"/>
          <w:lang w:val="id-ID"/>
        </w:rPr>
        <w:t xml:space="preserve">in the </w:t>
      </w:r>
      <w:r>
        <w:rPr>
          <w:color w:val="000000"/>
          <w:szCs w:val="20"/>
          <w:lang w:val="id-ID"/>
        </w:rPr>
        <w:t>Sectors of</w:t>
      </w:r>
      <w:r w:rsidRPr="00A15CBD">
        <w:rPr>
          <w:color w:val="000000"/>
          <w:szCs w:val="20"/>
          <w:lang w:val="id-ID"/>
        </w:rPr>
        <w:t xml:space="preserve"> Trade, Services, and Investment</w:t>
      </w:r>
      <w:r>
        <w:rPr>
          <w:color w:val="000000"/>
          <w:szCs w:val="20"/>
          <w:lang w:val="id-ID"/>
        </w:rPr>
        <w:t xml:space="preserve"> </w:t>
      </w:r>
    </w:p>
    <w:tbl>
      <w:tblPr>
        <w:tblW w:w="7104"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333"/>
        <w:gridCol w:w="567"/>
        <w:gridCol w:w="851"/>
        <w:gridCol w:w="850"/>
        <w:gridCol w:w="851"/>
        <w:gridCol w:w="1652"/>
      </w:tblGrid>
      <w:tr w:rsidR="00C373BA" w:rsidTr="00625FC7">
        <w:trPr>
          <w:cantSplit/>
          <w:jc w:val="center"/>
        </w:trPr>
        <w:tc>
          <w:tcPr>
            <w:tcW w:w="7104" w:type="dxa"/>
            <w:gridSpan w:val="6"/>
            <w:shd w:val="clear" w:color="auto" w:fill="FFFFFF"/>
            <w:vAlign w:val="center"/>
          </w:tcPr>
          <w:p w:rsidR="00BC3F5E" w:rsidRPr="00BC3F5E" w:rsidRDefault="00E90A84" w:rsidP="005F20BA">
            <w:pPr>
              <w:widowControl/>
              <w:autoSpaceDE w:val="0"/>
              <w:autoSpaceDN w:val="0"/>
              <w:adjustRightInd w:val="0"/>
              <w:ind w:left="60" w:right="60"/>
              <w:jc w:val="center"/>
              <w:rPr>
                <w:rFonts w:ascii="Book Antiqua" w:eastAsia="Calibri" w:hAnsi="Book Antiqua"/>
                <w:szCs w:val="20"/>
                <w:lang w:eastAsia="id-ID"/>
              </w:rPr>
            </w:pPr>
            <w:r w:rsidRPr="00BC3F5E">
              <w:rPr>
                <w:rFonts w:ascii="Book Antiqua" w:eastAsia="Calibri" w:hAnsi="Book Antiqua"/>
                <w:b/>
                <w:bCs/>
                <w:szCs w:val="20"/>
                <w:lang w:eastAsia="id-ID"/>
              </w:rPr>
              <w:t>Descriptive Statistics</w:t>
            </w:r>
          </w:p>
        </w:tc>
      </w:tr>
      <w:tr w:rsidR="00C373BA" w:rsidTr="00625FC7">
        <w:trPr>
          <w:cantSplit/>
          <w:jc w:val="center"/>
        </w:trPr>
        <w:tc>
          <w:tcPr>
            <w:tcW w:w="2333" w:type="dxa"/>
            <w:tcBorders>
              <w:top w:val="nil"/>
              <w:bottom w:val="single" w:sz="4" w:space="0" w:color="auto"/>
            </w:tcBorders>
            <w:shd w:val="clear" w:color="auto" w:fill="FFFFFF"/>
            <w:vAlign w:val="bottom"/>
          </w:tcPr>
          <w:p w:rsidR="00BC3F5E" w:rsidRPr="00BC3F5E" w:rsidRDefault="00BC3F5E" w:rsidP="005F20BA">
            <w:pPr>
              <w:widowControl/>
              <w:autoSpaceDE w:val="0"/>
              <w:autoSpaceDN w:val="0"/>
              <w:adjustRightInd w:val="0"/>
              <w:rPr>
                <w:rFonts w:ascii="Book Antiqua" w:eastAsia="Calibri" w:hAnsi="Book Antiqua"/>
                <w:szCs w:val="20"/>
                <w:lang w:eastAsia="id-ID"/>
              </w:rPr>
            </w:pPr>
          </w:p>
        </w:tc>
        <w:tc>
          <w:tcPr>
            <w:tcW w:w="567" w:type="dxa"/>
            <w:tcBorders>
              <w:top w:val="nil"/>
              <w:bottom w:val="single" w:sz="4" w:space="0" w:color="auto"/>
            </w:tcBorders>
            <w:shd w:val="clear" w:color="auto" w:fill="FFFFFF"/>
            <w:vAlign w:val="bottom"/>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N</w:t>
            </w:r>
          </w:p>
        </w:tc>
        <w:tc>
          <w:tcPr>
            <w:tcW w:w="851" w:type="dxa"/>
            <w:tcBorders>
              <w:top w:val="nil"/>
              <w:bottom w:val="single" w:sz="4" w:space="0" w:color="auto"/>
            </w:tcBorders>
            <w:shd w:val="clear" w:color="auto" w:fill="FFFFFF"/>
            <w:vAlign w:val="bottom"/>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Min</w:t>
            </w:r>
          </w:p>
        </w:tc>
        <w:tc>
          <w:tcPr>
            <w:tcW w:w="850" w:type="dxa"/>
            <w:tcBorders>
              <w:top w:val="nil"/>
              <w:bottom w:val="single" w:sz="4" w:space="0" w:color="auto"/>
            </w:tcBorders>
            <w:shd w:val="clear" w:color="auto" w:fill="FFFFFF"/>
            <w:vAlign w:val="bottom"/>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Max</w:t>
            </w:r>
          </w:p>
        </w:tc>
        <w:tc>
          <w:tcPr>
            <w:tcW w:w="851" w:type="dxa"/>
            <w:tcBorders>
              <w:top w:val="nil"/>
              <w:bottom w:val="single" w:sz="4" w:space="0" w:color="auto"/>
            </w:tcBorders>
            <w:shd w:val="clear" w:color="auto" w:fill="FFFFFF"/>
            <w:vAlign w:val="bottom"/>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Mean</w:t>
            </w:r>
          </w:p>
        </w:tc>
        <w:tc>
          <w:tcPr>
            <w:tcW w:w="1652" w:type="dxa"/>
            <w:tcBorders>
              <w:top w:val="nil"/>
              <w:bottom w:val="single" w:sz="4" w:space="0" w:color="auto"/>
            </w:tcBorders>
            <w:shd w:val="clear" w:color="auto" w:fill="FFFFFF"/>
            <w:vAlign w:val="bottom"/>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Std. Deviation</w:t>
            </w:r>
          </w:p>
        </w:tc>
      </w:tr>
      <w:tr w:rsidR="00C373BA" w:rsidTr="00625FC7">
        <w:trPr>
          <w:cantSplit/>
          <w:jc w:val="center"/>
        </w:trPr>
        <w:tc>
          <w:tcPr>
            <w:tcW w:w="2333" w:type="dxa"/>
            <w:tcBorders>
              <w:top w:val="single" w:sz="4" w:space="0" w:color="auto"/>
            </w:tcBorders>
            <w:shd w:val="clear" w:color="auto" w:fill="auto"/>
          </w:tcPr>
          <w:p w:rsidR="00BC3F5E" w:rsidRPr="00BC3F5E"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CR_</w:t>
            </w:r>
            <w:r>
              <w:rPr>
                <w:rFonts w:ascii="Book Antiqua" w:eastAsia="Calibri" w:hAnsi="Book Antiqua"/>
                <w:szCs w:val="20"/>
                <w:lang w:val="id-ID" w:eastAsia="id-ID"/>
              </w:rPr>
              <w:t>before</w:t>
            </w:r>
            <w:r w:rsidRPr="00BC3F5E">
              <w:rPr>
                <w:rFonts w:ascii="Book Antiqua" w:eastAsia="Calibri" w:hAnsi="Book Antiqua"/>
                <w:szCs w:val="20"/>
                <w:lang w:eastAsia="id-ID"/>
              </w:rPr>
              <w:t xml:space="preserve"> COVID 19</w:t>
            </w:r>
          </w:p>
        </w:tc>
        <w:tc>
          <w:tcPr>
            <w:tcW w:w="567" w:type="dxa"/>
            <w:tcBorders>
              <w:top w:val="single" w:sz="4" w:space="0" w:color="auto"/>
            </w:tcBorders>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57</w:t>
            </w:r>
          </w:p>
        </w:tc>
        <w:tc>
          <w:tcPr>
            <w:tcW w:w="851" w:type="dxa"/>
            <w:tcBorders>
              <w:top w:val="single" w:sz="4" w:space="0" w:color="auto"/>
            </w:tcBorders>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0.209</w:t>
            </w:r>
          </w:p>
        </w:tc>
        <w:tc>
          <w:tcPr>
            <w:tcW w:w="850" w:type="dxa"/>
            <w:tcBorders>
              <w:top w:val="single" w:sz="4" w:space="0" w:color="auto"/>
            </w:tcBorders>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100.943</w:t>
            </w:r>
          </w:p>
        </w:tc>
        <w:tc>
          <w:tcPr>
            <w:tcW w:w="851" w:type="dxa"/>
            <w:tcBorders>
              <w:top w:val="single" w:sz="4" w:space="0" w:color="auto"/>
            </w:tcBorders>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7.863</w:t>
            </w:r>
          </w:p>
        </w:tc>
        <w:tc>
          <w:tcPr>
            <w:tcW w:w="1652" w:type="dxa"/>
            <w:tcBorders>
              <w:top w:val="single" w:sz="4" w:space="0" w:color="auto"/>
            </w:tcBorders>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20.307</w:t>
            </w:r>
          </w:p>
        </w:tc>
      </w:tr>
      <w:tr w:rsidR="00C373BA" w:rsidTr="00625FC7">
        <w:trPr>
          <w:cantSplit/>
          <w:jc w:val="center"/>
        </w:trPr>
        <w:tc>
          <w:tcPr>
            <w:tcW w:w="2333" w:type="dxa"/>
            <w:shd w:val="clear" w:color="auto" w:fill="auto"/>
          </w:tcPr>
          <w:p w:rsidR="00BC3F5E" w:rsidRPr="00BC3F5E"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CR_</w:t>
            </w:r>
            <w:r>
              <w:rPr>
                <w:rFonts w:ascii="Book Antiqua" w:eastAsia="Calibri" w:hAnsi="Book Antiqua"/>
                <w:szCs w:val="20"/>
                <w:lang w:val="id-ID" w:eastAsia="id-ID"/>
              </w:rPr>
              <w:t>during</w:t>
            </w:r>
            <w:r w:rsidRPr="00BC3F5E">
              <w:rPr>
                <w:rFonts w:ascii="Book Antiqua" w:eastAsia="Calibri" w:hAnsi="Book Antiqua"/>
                <w:szCs w:val="20"/>
                <w:lang w:eastAsia="id-ID"/>
              </w:rPr>
              <w:t xml:space="preserve"> COVID 19</w:t>
            </w:r>
          </w:p>
        </w:tc>
        <w:tc>
          <w:tcPr>
            <w:tcW w:w="567"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57</w:t>
            </w:r>
          </w:p>
        </w:tc>
        <w:tc>
          <w:tcPr>
            <w:tcW w:w="851"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0.192</w:t>
            </w:r>
          </w:p>
        </w:tc>
        <w:tc>
          <w:tcPr>
            <w:tcW w:w="850"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21.903</w:t>
            </w:r>
          </w:p>
        </w:tc>
        <w:tc>
          <w:tcPr>
            <w:tcW w:w="851"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3.508</w:t>
            </w:r>
          </w:p>
        </w:tc>
        <w:tc>
          <w:tcPr>
            <w:tcW w:w="1652"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4.715</w:t>
            </w:r>
          </w:p>
        </w:tc>
      </w:tr>
      <w:tr w:rsidR="00C373BA" w:rsidTr="00625FC7">
        <w:trPr>
          <w:cantSplit/>
          <w:jc w:val="center"/>
        </w:trPr>
        <w:tc>
          <w:tcPr>
            <w:tcW w:w="2333" w:type="dxa"/>
            <w:shd w:val="clear" w:color="auto" w:fill="auto"/>
          </w:tcPr>
          <w:p w:rsidR="00BC3F5E" w:rsidRPr="00BC3F5E"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DER_</w:t>
            </w:r>
            <w:r>
              <w:rPr>
                <w:rFonts w:ascii="Book Antiqua" w:eastAsia="Calibri" w:hAnsi="Book Antiqua"/>
                <w:szCs w:val="20"/>
                <w:lang w:val="id-ID" w:eastAsia="id-ID"/>
              </w:rPr>
              <w:t xml:space="preserve">before </w:t>
            </w:r>
            <w:r w:rsidRPr="00BC3F5E">
              <w:rPr>
                <w:rFonts w:ascii="Book Antiqua" w:eastAsia="Calibri" w:hAnsi="Book Antiqua"/>
                <w:szCs w:val="20"/>
                <w:lang w:eastAsia="id-ID"/>
              </w:rPr>
              <w:t>COVID 19</w:t>
            </w:r>
          </w:p>
        </w:tc>
        <w:tc>
          <w:tcPr>
            <w:tcW w:w="567"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57</w:t>
            </w:r>
          </w:p>
        </w:tc>
        <w:tc>
          <w:tcPr>
            <w:tcW w:w="851"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0.013</w:t>
            </w:r>
          </w:p>
        </w:tc>
        <w:tc>
          <w:tcPr>
            <w:tcW w:w="850"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2.718</w:t>
            </w:r>
          </w:p>
        </w:tc>
        <w:tc>
          <w:tcPr>
            <w:tcW w:w="851"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0.854</w:t>
            </w:r>
          </w:p>
        </w:tc>
        <w:tc>
          <w:tcPr>
            <w:tcW w:w="1652"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0.997</w:t>
            </w:r>
          </w:p>
        </w:tc>
      </w:tr>
      <w:tr w:rsidR="00C373BA" w:rsidTr="00625FC7">
        <w:trPr>
          <w:cantSplit/>
          <w:jc w:val="center"/>
        </w:trPr>
        <w:tc>
          <w:tcPr>
            <w:tcW w:w="2333" w:type="dxa"/>
            <w:shd w:val="clear" w:color="auto" w:fill="auto"/>
          </w:tcPr>
          <w:p w:rsidR="00BC3F5E" w:rsidRPr="00BC3F5E"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DER_</w:t>
            </w:r>
            <w:r>
              <w:rPr>
                <w:rFonts w:ascii="Book Antiqua" w:eastAsia="Calibri" w:hAnsi="Book Antiqua"/>
                <w:szCs w:val="20"/>
                <w:lang w:val="id-ID" w:eastAsia="id-ID"/>
              </w:rPr>
              <w:t>during</w:t>
            </w:r>
            <w:r w:rsidRPr="00BC3F5E">
              <w:rPr>
                <w:rFonts w:ascii="Book Antiqua" w:eastAsia="Calibri" w:hAnsi="Book Antiqua"/>
                <w:szCs w:val="20"/>
                <w:lang w:eastAsia="id-ID"/>
              </w:rPr>
              <w:t xml:space="preserve"> COVID 19</w:t>
            </w:r>
          </w:p>
        </w:tc>
        <w:tc>
          <w:tcPr>
            <w:tcW w:w="567"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57</w:t>
            </w:r>
          </w:p>
        </w:tc>
        <w:tc>
          <w:tcPr>
            <w:tcW w:w="851"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0.020</w:t>
            </w:r>
          </w:p>
        </w:tc>
        <w:tc>
          <w:tcPr>
            <w:tcW w:w="850"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3.020</w:t>
            </w:r>
          </w:p>
        </w:tc>
        <w:tc>
          <w:tcPr>
            <w:tcW w:w="851"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0.914</w:t>
            </w:r>
          </w:p>
        </w:tc>
        <w:tc>
          <w:tcPr>
            <w:tcW w:w="1652"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0.972</w:t>
            </w:r>
          </w:p>
        </w:tc>
      </w:tr>
      <w:tr w:rsidR="00C373BA" w:rsidTr="00625FC7">
        <w:trPr>
          <w:cantSplit/>
          <w:jc w:val="center"/>
        </w:trPr>
        <w:tc>
          <w:tcPr>
            <w:tcW w:w="2333" w:type="dxa"/>
            <w:shd w:val="clear" w:color="auto" w:fill="auto"/>
          </w:tcPr>
          <w:p w:rsidR="00BC3F5E" w:rsidRPr="00BC3F5E"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ROA_</w:t>
            </w:r>
            <w:r>
              <w:rPr>
                <w:rFonts w:ascii="Book Antiqua" w:eastAsia="Calibri" w:hAnsi="Book Antiqua"/>
                <w:szCs w:val="20"/>
                <w:lang w:val="id-ID" w:eastAsia="id-ID"/>
              </w:rPr>
              <w:t>before</w:t>
            </w:r>
            <w:r w:rsidRPr="00BC3F5E">
              <w:rPr>
                <w:rFonts w:ascii="Book Antiqua" w:eastAsia="Calibri" w:hAnsi="Book Antiqua"/>
                <w:szCs w:val="20"/>
                <w:lang w:eastAsia="id-ID"/>
              </w:rPr>
              <w:t xml:space="preserve"> COVID 19</w:t>
            </w:r>
          </w:p>
        </w:tc>
        <w:tc>
          <w:tcPr>
            <w:tcW w:w="567"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57</w:t>
            </w:r>
          </w:p>
        </w:tc>
        <w:tc>
          <w:tcPr>
            <w:tcW w:w="851"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-0.037</w:t>
            </w:r>
          </w:p>
        </w:tc>
        <w:tc>
          <w:tcPr>
            <w:tcW w:w="850"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0.037</w:t>
            </w:r>
          </w:p>
        </w:tc>
        <w:tc>
          <w:tcPr>
            <w:tcW w:w="851"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0.004</w:t>
            </w:r>
          </w:p>
        </w:tc>
        <w:tc>
          <w:tcPr>
            <w:tcW w:w="1652"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0.016</w:t>
            </w:r>
          </w:p>
        </w:tc>
      </w:tr>
      <w:tr w:rsidR="00C373BA" w:rsidTr="00625FC7">
        <w:trPr>
          <w:cantSplit/>
          <w:jc w:val="center"/>
        </w:trPr>
        <w:tc>
          <w:tcPr>
            <w:tcW w:w="2333" w:type="dxa"/>
            <w:shd w:val="clear" w:color="auto" w:fill="auto"/>
          </w:tcPr>
          <w:p w:rsidR="00BC3F5E" w:rsidRPr="00BC3F5E"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ROA_</w:t>
            </w:r>
            <w:r>
              <w:rPr>
                <w:rFonts w:ascii="Book Antiqua" w:eastAsia="Calibri" w:hAnsi="Book Antiqua"/>
                <w:szCs w:val="20"/>
                <w:lang w:val="id-ID" w:eastAsia="id-ID"/>
              </w:rPr>
              <w:t>during</w:t>
            </w:r>
            <w:r w:rsidRPr="00BC3F5E">
              <w:rPr>
                <w:rFonts w:ascii="Book Antiqua" w:eastAsia="Calibri" w:hAnsi="Book Antiqua"/>
                <w:szCs w:val="20"/>
                <w:lang w:eastAsia="id-ID"/>
              </w:rPr>
              <w:t xml:space="preserve"> COVID 19</w:t>
            </w:r>
          </w:p>
        </w:tc>
        <w:tc>
          <w:tcPr>
            <w:tcW w:w="567"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57</w:t>
            </w:r>
          </w:p>
        </w:tc>
        <w:tc>
          <w:tcPr>
            <w:tcW w:w="851"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-0.169</w:t>
            </w:r>
          </w:p>
        </w:tc>
        <w:tc>
          <w:tcPr>
            <w:tcW w:w="850"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0.054</w:t>
            </w:r>
          </w:p>
        </w:tc>
        <w:tc>
          <w:tcPr>
            <w:tcW w:w="851"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-0.014</w:t>
            </w:r>
          </w:p>
        </w:tc>
        <w:tc>
          <w:tcPr>
            <w:tcW w:w="1652"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0.056</w:t>
            </w:r>
          </w:p>
        </w:tc>
      </w:tr>
      <w:tr w:rsidR="00C373BA" w:rsidTr="00625FC7">
        <w:trPr>
          <w:cantSplit/>
          <w:jc w:val="center"/>
        </w:trPr>
        <w:tc>
          <w:tcPr>
            <w:tcW w:w="2333" w:type="dxa"/>
            <w:shd w:val="clear" w:color="auto" w:fill="auto"/>
          </w:tcPr>
          <w:p w:rsidR="00BC3F5E" w:rsidRPr="00BC3F5E"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RTO_</w:t>
            </w:r>
            <w:r>
              <w:rPr>
                <w:rFonts w:ascii="Book Antiqua" w:eastAsia="Calibri" w:hAnsi="Book Antiqua"/>
                <w:szCs w:val="20"/>
                <w:lang w:val="id-ID" w:eastAsia="id-ID"/>
              </w:rPr>
              <w:t>before</w:t>
            </w:r>
            <w:r w:rsidRPr="00BC3F5E">
              <w:rPr>
                <w:rFonts w:ascii="Book Antiqua" w:eastAsia="Calibri" w:hAnsi="Book Antiqua"/>
                <w:szCs w:val="20"/>
                <w:lang w:eastAsia="id-ID"/>
              </w:rPr>
              <w:t xml:space="preserve"> COVID 19</w:t>
            </w:r>
          </w:p>
        </w:tc>
        <w:tc>
          <w:tcPr>
            <w:tcW w:w="567"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57</w:t>
            </w:r>
          </w:p>
        </w:tc>
        <w:tc>
          <w:tcPr>
            <w:tcW w:w="851"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0.001</w:t>
            </w:r>
          </w:p>
        </w:tc>
        <w:tc>
          <w:tcPr>
            <w:tcW w:w="850"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33.217</w:t>
            </w:r>
          </w:p>
        </w:tc>
        <w:tc>
          <w:tcPr>
            <w:tcW w:w="851"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3.214</w:t>
            </w:r>
          </w:p>
        </w:tc>
        <w:tc>
          <w:tcPr>
            <w:tcW w:w="1652"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6.592</w:t>
            </w:r>
          </w:p>
        </w:tc>
      </w:tr>
      <w:tr w:rsidR="00C373BA" w:rsidTr="00625FC7">
        <w:trPr>
          <w:cantSplit/>
          <w:jc w:val="center"/>
        </w:trPr>
        <w:tc>
          <w:tcPr>
            <w:tcW w:w="2333" w:type="dxa"/>
            <w:shd w:val="clear" w:color="auto" w:fill="auto"/>
          </w:tcPr>
          <w:p w:rsidR="00BC3F5E" w:rsidRPr="00BC3F5E" w:rsidRDefault="00E90A84" w:rsidP="005F20BA">
            <w:pPr>
              <w:widowControl/>
              <w:autoSpaceDE w:val="0"/>
              <w:autoSpaceDN w:val="0"/>
              <w:adjustRightInd w:val="0"/>
              <w:ind w:left="60" w:right="60"/>
              <w:rPr>
                <w:rFonts w:ascii="Book Antiqua" w:eastAsia="Calibri" w:hAnsi="Book Antiqua"/>
                <w:szCs w:val="20"/>
                <w:lang w:eastAsia="id-ID"/>
              </w:rPr>
            </w:pPr>
            <w:r>
              <w:rPr>
                <w:rFonts w:ascii="Book Antiqua" w:eastAsia="Calibri" w:hAnsi="Book Antiqua"/>
                <w:szCs w:val="20"/>
                <w:lang w:eastAsia="id-ID"/>
              </w:rPr>
              <w:t>RTO_</w:t>
            </w:r>
            <w:r>
              <w:rPr>
                <w:rFonts w:ascii="Book Antiqua" w:eastAsia="Calibri" w:hAnsi="Book Antiqua"/>
                <w:szCs w:val="20"/>
                <w:lang w:val="id-ID" w:eastAsia="id-ID"/>
              </w:rPr>
              <w:t>during</w:t>
            </w:r>
            <w:r w:rsidRPr="00BC3F5E">
              <w:rPr>
                <w:rFonts w:ascii="Book Antiqua" w:eastAsia="Calibri" w:hAnsi="Book Antiqua"/>
                <w:szCs w:val="20"/>
                <w:lang w:eastAsia="id-ID"/>
              </w:rPr>
              <w:t xml:space="preserve"> COVID 19</w:t>
            </w:r>
          </w:p>
        </w:tc>
        <w:tc>
          <w:tcPr>
            <w:tcW w:w="567"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57</w:t>
            </w:r>
          </w:p>
        </w:tc>
        <w:tc>
          <w:tcPr>
            <w:tcW w:w="851"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0.543</w:t>
            </w:r>
          </w:p>
        </w:tc>
        <w:tc>
          <w:tcPr>
            <w:tcW w:w="850"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42.128</w:t>
            </w:r>
          </w:p>
        </w:tc>
        <w:tc>
          <w:tcPr>
            <w:tcW w:w="851"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5.744</w:t>
            </w:r>
          </w:p>
        </w:tc>
        <w:tc>
          <w:tcPr>
            <w:tcW w:w="1652" w:type="dxa"/>
            <w:shd w:val="clear" w:color="auto" w:fill="FFFFFF"/>
          </w:tcPr>
          <w:p w:rsidR="00BC3F5E" w:rsidRPr="00BC3F5E" w:rsidRDefault="00E90A84" w:rsidP="00625FC7">
            <w:pPr>
              <w:widowControl/>
              <w:autoSpaceDE w:val="0"/>
              <w:autoSpaceDN w:val="0"/>
              <w:adjustRightInd w:val="0"/>
              <w:ind w:left="60" w:right="60"/>
              <w:jc w:val="left"/>
              <w:rPr>
                <w:rFonts w:ascii="Book Antiqua" w:eastAsia="Calibri" w:hAnsi="Book Antiqua"/>
                <w:szCs w:val="20"/>
                <w:lang w:eastAsia="id-ID"/>
              </w:rPr>
            </w:pPr>
            <w:r w:rsidRPr="00BC3F5E">
              <w:rPr>
                <w:rFonts w:ascii="Book Antiqua" w:eastAsia="Calibri" w:hAnsi="Book Antiqua"/>
                <w:szCs w:val="20"/>
                <w:lang w:eastAsia="id-ID"/>
              </w:rPr>
              <w:t>9.570</w:t>
            </w:r>
          </w:p>
        </w:tc>
      </w:tr>
    </w:tbl>
    <w:p w:rsidR="00A15CBD" w:rsidRPr="00A15CBD" w:rsidRDefault="00A15CBD" w:rsidP="00BC3F5E">
      <w:pPr>
        <w:pStyle w:val="Ventura-Content"/>
        <w:ind w:firstLine="0"/>
        <w:rPr>
          <w:color w:val="000000"/>
          <w:szCs w:val="20"/>
          <w:lang w:val="id-ID"/>
        </w:rPr>
      </w:pPr>
    </w:p>
    <w:p w:rsidR="003419A2" w:rsidRDefault="00E90A84" w:rsidP="00BC3F5E">
      <w:pPr>
        <w:pStyle w:val="Ventura-Content"/>
        <w:ind w:firstLine="709"/>
        <w:rPr>
          <w:color w:val="000000"/>
          <w:szCs w:val="20"/>
          <w:lang w:val="id-ID"/>
        </w:rPr>
      </w:pPr>
      <w:r w:rsidRPr="00256EEC">
        <w:rPr>
          <w:color w:val="000000"/>
          <w:szCs w:val="20"/>
        </w:rPr>
        <w:t>Table 15 shows that 57 companies in the Trade, Service, and Investment sector experienced a decrease in the average value of the current ratio from 7.863 to 3.508. The average value of DER increased from 0.854 to 0.914. The average value of ROA decreased from 0.004 to -0.014, and the average value of receivable turnover increased from 3.214 to 5.744.</w:t>
      </w:r>
    </w:p>
    <w:p w:rsidR="003419A2" w:rsidRDefault="003419A2" w:rsidP="003419A2">
      <w:pPr>
        <w:pStyle w:val="Ventura-Content"/>
        <w:ind w:firstLine="0"/>
        <w:rPr>
          <w:color w:val="000000"/>
          <w:szCs w:val="20"/>
          <w:lang w:val="id-ID"/>
        </w:rPr>
      </w:pPr>
    </w:p>
    <w:p w:rsidR="003419A2" w:rsidRPr="00BC3F5E" w:rsidRDefault="00E90A84" w:rsidP="00FB036C">
      <w:pPr>
        <w:pStyle w:val="Ventura-Content"/>
        <w:ind w:left="284" w:hanging="284"/>
        <w:rPr>
          <w:i/>
          <w:color w:val="000000"/>
          <w:szCs w:val="20"/>
          <w:lang w:val="id-ID"/>
        </w:rPr>
      </w:pPr>
      <w:r>
        <w:rPr>
          <w:b/>
          <w:i/>
          <w:color w:val="000000"/>
          <w:szCs w:val="20"/>
        </w:rPr>
        <w:t>Analysis and Discussion</w:t>
      </w:r>
    </w:p>
    <w:p w:rsidR="003419A2" w:rsidRDefault="00E90A84" w:rsidP="003419A2">
      <w:pPr>
        <w:pStyle w:val="Ventura-Content"/>
        <w:ind w:firstLine="0"/>
        <w:rPr>
          <w:color w:val="000000"/>
          <w:szCs w:val="20"/>
          <w:lang w:val="id-ID"/>
        </w:rPr>
      </w:pPr>
      <w:r w:rsidRPr="00256EEC">
        <w:rPr>
          <w:color w:val="000000"/>
          <w:szCs w:val="20"/>
        </w:rPr>
        <w:t xml:space="preserve">Based on the statistical analysis results, H1 and H2 are rejected, which means that there is no significant difference in the </w:t>
      </w:r>
      <w:r w:rsidR="00787A83">
        <w:rPr>
          <w:color w:val="000000"/>
          <w:szCs w:val="20"/>
        </w:rPr>
        <w:t xml:space="preserve">liquidity ratio (current ratio) </w:t>
      </w:r>
      <w:r w:rsidRPr="00256EEC">
        <w:rPr>
          <w:color w:val="000000"/>
          <w:szCs w:val="20"/>
        </w:rPr>
        <w:t xml:space="preserve">and </w:t>
      </w:r>
      <w:r w:rsidR="00787A83">
        <w:rPr>
          <w:color w:val="000000"/>
          <w:szCs w:val="20"/>
        </w:rPr>
        <w:t>leverage ratio</w:t>
      </w:r>
      <w:r w:rsidRPr="00256EEC">
        <w:rPr>
          <w:color w:val="000000"/>
          <w:szCs w:val="20"/>
        </w:rPr>
        <w:t xml:space="preserve"> </w:t>
      </w:r>
      <w:r w:rsidR="00787A83">
        <w:rPr>
          <w:color w:val="000000"/>
          <w:szCs w:val="20"/>
        </w:rPr>
        <w:t xml:space="preserve">(DER) </w:t>
      </w:r>
      <w:r w:rsidRPr="00256EEC">
        <w:rPr>
          <w:color w:val="000000"/>
          <w:szCs w:val="20"/>
        </w:rPr>
        <w:t>betw</w:t>
      </w:r>
      <w:r w:rsidR="00BC3F5E">
        <w:rPr>
          <w:color w:val="000000"/>
          <w:szCs w:val="20"/>
        </w:rPr>
        <w:t>een before and during the COVID</w:t>
      </w:r>
      <w:r w:rsidR="00BC3F5E">
        <w:rPr>
          <w:color w:val="000000"/>
          <w:szCs w:val="20"/>
          <w:lang w:val="id-ID"/>
        </w:rPr>
        <w:t>-</w:t>
      </w:r>
      <w:r w:rsidRPr="00256EEC">
        <w:rPr>
          <w:color w:val="000000"/>
          <w:szCs w:val="20"/>
        </w:rPr>
        <w:t>19 pandemic. The descriptive analysis results show a decrease in the average value of the current ratio and an increase in the average DER value. However, these changes are not significant, according to the results of the Wilcoxon signed-rank test.</w:t>
      </w:r>
    </w:p>
    <w:p w:rsidR="00E41E14" w:rsidRDefault="00E90A84" w:rsidP="00E41E14">
      <w:pPr>
        <w:pStyle w:val="Ventura-Content"/>
        <w:ind w:firstLine="709"/>
        <w:rPr>
          <w:color w:val="000000"/>
          <w:szCs w:val="20"/>
          <w:lang w:val="id-ID"/>
        </w:rPr>
      </w:pPr>
      <w:r w:rsidRPr="00256EEC">
        <w:rPr>
          <w:color w:val="000000"/>
          <w:szCs w:val="20"/>
        </w:rPr>
        <w:t>In</w:t>
      </w:r>
      <w:r w:rsidR="00BC3F5E">
        <w:rPr>
          <w:color w:val="000000"/>
          <w:szCs w:val="20"/>
        </w:rPr>
        <w:t>donesia began to face the COVID</w:t>
      </w:r>
      <w:r w:rsidR="00BC3F5E">
        <w:rPr>
          <w:color w:val="000000"/>
          <w:szCs w:val="20"/>
          <w:lang w:val="id-ID"/>
        </w:rPr>
        <w:t>-</w:t>
      </w:r>
      <w:r w:rsidRPr="00256EEC">
        <w:rPr>
          <w:color w:val="000000"/>
          <w:szCs w:val="20"/>
        </w:rPr>
        <w:t xml:space="preserve">19 pandemic situation in mid-March 2020. Since March 16, 2020, the work </w:t>
      </w:r>
      <w:r w:rsidR="003419A2">
        <w:rPr>
          <w:color w:val="000000"/>
          <w:szCs w:val="20"/>
        </w:rPr>
        <w:t xml:space="preserve">from home (WFH) policy has </w:t>
      </w:r>
      <w:r w:rsidR="003419A2">
        <w:rPr>
          <w:color w:val="000000"/>
          <w:szCs w:val="20"/>
          <w:lang w:val="id-ID"/>
        </w:rPr>
        <w:t>begun</w:t>
      </w:r>
      <w:r w:rsidRPr="00256EEC">
        <w:rPr>
          <w:color w:val="000000"/>
          <w:szCs w:val="20"/>
        </w:rPr>
        <w:t xml:space="preserve"> to be applied. The first quarter of 2020 was the initial stage of </w:t>
      </w:r>
      <w:r w:rsidRPr="00256EEC">
        <w:rPr>
          <w:color w:val="000000"/>
          <w:szCs w:val="20"/>
        </w:rPr>
        <w:lastRenderedPageBreak/>
        <w:t>economic upheaval. In the second quarter, which was until the end of June 2020, Indonesia could still use funding sourced from the state treasury that had been previously collected through the largest tax re</w:t>
      </w:r>
      <w:r w:rsidR="00BC3F5E">
        <w:rPr>
          <w:color w:val="000000"/>
          <w:szCs w:val="20"/>
        </w:rPr>
        <w:t>venue. However, if the COVID</w:t>
      </w:r>
      <w:r w:rsidR="00BC3F5E">
        <w:rPr>
          <w:color w:val="000000"/>
          <w:szCs w:val="20"/>
          <w:lang w:val="id-ID"/>
        </w:rPr>
        <w:t>-</w:t>
      </w:r>
      <w:r w:rsidRPr="00256EEC">
        <w:rPr>
          <w:color w:val="000000"/>
          <w:szCs w:val="20"/>
        </w:rPr>
        <w:t>19 pandemic cannot be resolved immediately, the Indonesian economy will gradually weaken due to decreased income obtained through tax revenue from the real sectors affected.</w:t>
      </w:r>
    </w:p>
    <w:p w:rsidR="00E41E14" w:rsidRDefault="00E90A84" w:rsidP="00E41E14">
      <w:pPr>
        <w:pStyle w:val="Ventura-Content"/>
        <w:ind w:firstLine="709"/>
        <w:rPr>
          <w:color w:val="000000"/>
          <w:szCs w:val="20"/>
          <w:lang w:val="id-ID"/>
        </w:rPr>
      </w:pPr>
      <w:r w:rsidRPr="00256EEC">
        <w:rPr>
          <w:color w:val="000000"/>
          <w:szCs w:val="20"/>
        </w:rPr>
        <w:t>When the real sectors that absorb the most labor are no longer able to operate, the impact will decrease people's income. The decline in people's income due to the e</w:t>
      </w:r>
      <w:r w:rsidR="00BC3F5E">
        <w:rPr>
          <w:color w:val="000000"/>
          <w:szCs w:val="20"/>
        </w:rPr>
        <w:t>conomic crisis during the COVID</w:t>
      </w:r>
      <w:r w:rsidR="00BC3F5E">
        <w:rPr>
          <w:color w:val="000000"/>
          <w:szCs w:val="20"/>
          <w:lang w:val="id-ID"/>
        </w:rPr>
        <w:t>-</w:t>
      </w:r>
      <w:r w:rsidRPr="00256EEC">
        <w:rPr>
          <w:color w:val="000000"/>
          <w:szCs w:val="20"/>
        </w:rPr>
        <w:t>19 pandemic will certainly impact the decrease in people's purchasing power so that sales activity in the industrial sector will also decrease. The decline in sales value in the industrial sector will certainly impact lowering profits and a decrease in cash inflows, which can help increase current assets. Several components of current assets affected by sales activities are the cash component resulting from cash sales and the value of trade receivables as a result of credit sales. When current assets experience significant changes, this will ultimately affect the value of the current ratio.</w:t>
      </w:r>
    </w:p>
    <w:p w:rsidR="00E41E14" w:rsidRDefault="00E90A84" w:rsidP="00E41E14">
      <w:pPr>
        <w:pStyle w:val="Ventura-Content"/>
        <w:ind w:firstLine="709"/>
        <w:rPr>
          <w:color w:val="000000"/>
          <w:szCs w:val="20"/>
          <w:lang w:val="id-ID"/>
        </w:rPr>
      </w:pPr>
      <w:r w:rsidRPr="00256EEC">
        <w:rPr>
          <w:color w:val="000000"/>
          <w:szCs w:val="20"/>
        </w:rPr>
        <w:t xml:space="preserve">A significant decrease in company profits and cash </w:t>
      </w:r>
      <w:r w:rsidR="00787A83">
        <w:rPr>
          <w:color w:val="000000"/>
          <w:szCs w:val="20"/>
        </w:rPr>
        <w:t xml:space="preserve">flows </w:t>
      </w:r>
      <w:r w:rsidRPr="00256EEC">
        <w:rPr>
          <w:color w:val="000000"/>
          <w:szCs w:val="20"/>
        </w:rPr>
        <w:t>received from cash sales transactions greatly impacts the company's ability to pay its debts due to cash unavailability in the form of cash to make debt payments. Besides, the value of capital will decrease due to losses experienced by the company due to decreased sales. Minimal income from sales will certainly reduce the company's ability to cover all operational costs incurred to</w:t>
      </w:r>
      <w:r w:rsidR="00787A83">
        <w:rPr>
          <w:color w:val="000000"/>
          <w:szCs w:val="20"/>
        </w:rPr>
        <w:t xml:space="preserve"> suffer losses. The result is in line with </w:t>
      </w:r>
      <w:r w:rsidRPr="00256EEC">
        <w:rPr>
          <w:color w:val="000000"/>
          <w:szCs w:val="20"/>
        </w:rPr>
        <w:t>Bintang et al. (2019), show</w:t>
      </w:r>
      <w:r w:rsidR="00787A83">
        <w:rPr>
          <w:color w:val="000000"/>
          <w:szCs w:val="20"/>
        </w:rPr>
        <w:t>ing</w:t>
      </w:r>
      <w:r w:rsidRPr="00256EEC">
        <w:rPr>
          <w:color w:val="000000"/>
          <w:szCs w:val="20"/>
        </w:rPr>
        <w:t xml:space="preserve"> that there were differences in financial performance, including the current ratio before and after the monetary crisis. However, this study shows that changes or differences in the average value of the current ratio are not significant. Regarding the DER value, Rofiqoh (2001) states that an increase in the DER value indicated the decline in public companies' financial performance listed on the Jakarta Stock Exchange during the crisis compared to before the crisis. However, the results of this study show that there is no significant difference in DER value. The difference between the results of this research and those conducted by Bintang et al. (2019) and Rofiqoh (2001) can be caused by the influence of samples from all industrial sectors used in this study, while the research conducted by Bintang et al. (2019) was limited to the use of manufacturing sector as the sample and the research conducted by Rofiqoh (2001) is limited to the use of 4 types of industries only, such as food and beverage, automotive, property and real estate, textile. The use of all industrial sectors in this study can lead to a decrease in the level of significance of differences due to the presence of sectors that experience a decrease, which is offset by the presence of sectors that experience an increase in the current ratio or DER with varying degrees of change. This research was also carried out until the second quarter of 2020 financial reporting so that it has not been very long since experiencing a c</w:t>
      </w:r>
      <w:r w:rsidR="00FB036C">
        <w:rPr>
          <w:color w:val="000000"/>
          <w:szCs w:val="20"/>
        </w:rPr>
        <w:t>risis due to the COVID</w:t>
      </w:r>
      <w:r w:rsidR="00FB036C">
        <w:rPr>
          <w:color w:val="000000"/>
          <w:szCs w:val="20"/>
          <w:lang w:val="id-ID"/>
        </w:rPr>
        <w:t>-</w:t>
      </w:r>
      <w:r w:rsidRPr="00256EEC">
        <w:rPr>
          <w:color w:val="000000"/>
          <w:szCs w:val="20"/>
        </w:rPr>
        <w:t>19 pandemic.</w:t>
      </w:r>
    </w:p>
    <w:p w:rsidR="00787A83" w:rsidRDefault="00E90A84" w:rsidP="00787A83">
      <w:pPr>
        <w:pStyle w:val="Ventura-Content"/>
        <w:ind w:firstLine="709"/>
        <w:rPr>
          <w:color w:val="000000"/>
          <w:szCs w:val="20"/>
          <w:lang w:val="id-ID"/>
        </w:rPr>
      </w:pPr>
      <w:r w:rsidRPr="00256EEC">
        <w:rPr>
          <w:color w:val="000000"/>
          <w:szCs w:val="20"/>
        </w:rPr>
        <w:t>The e</w:t>
      </w:r>
      <w:r w:rsidR="00BC3F5E">
        <w:rPr>
          <w:color w:val="000000"/>
          <w:szCs w:val="20"/>
        </w:rPr>
        <w:t>conomic crisis due to the COVID</w:t>
      </w:r>
      <w:r w:rsidR="00BC3F5E">
        <w:rPr>
          <w:color w:val="000000"/>
          <w:szCs w:val="20"/>
          <w:lang w:val="id-ID"/>
        </w:rPr>
        <w:t>-</w:t>
      </w:r>
      <w:r w:rsidRPr="00256EEC">
        <w:rPr>
          <w:color w:val="000000"/>
          <w:szCs w:val="20"/>
        </w:rPr>
        <w:t xml:space="preserve">19 pandemic has a significant impact on </w:t>
      </w:r>
      <w:r>
        <w:rPr>
          <w:color w:val="000000"/>
          <w:szCs w:val="20"/>
        </w:rPr>
        <w:t>firms’ profitability (</w:t>
      </w:r>
      <w:r w:rsidRPr="00256EEC">
        <w:rPr>
          <w:color w:val="000000"/>
          <w:szCs w:val="20"/>
        </w:rPr>
        <w:t>ROA</w:t>
      </w:r>
      <w:r>
        <w:rPr>
          <w:color w:val="000000"/>
          <w:szCs w:val="20"/>
        </w:rPr>
        <w:t>)</w:t>
      </w:r>
      <w:r w:rsidRPr="00256EEC">
        <w:rPr>
          <w:color w:val="000000"/>
          <w:szCs w:val="20"/>
        </w:rPr>
        <w:t xml:space="preserve"> and </w:t>
      </w:r>
      <w:r>
        <w:rPr>
          <w:color w:val="000000"/>
          <w:szCs w:val="20"/>
        </w:rPr>
        <w:t>activity ratio (</w:t>
      </w:r>
      <w:r w:rsidRPr="00256EEC">
        <w:rPr>
          <w:color w:val="000000"/>
          <w:szCs w:val="20"/>
        </w:rPr>
        <w:t>receivable turnover</w:t>
      </w:r>
      <w:r>
        <w:rPr>
          <w:color w:val="000000"/>
          <w:szCs w:val="20"/>
        </w:rPr>
        <w:t>)</w:t>
      </w:r>
      <w:r w:rsidRPr="00256EEC">
        <w:rPr>
          <w:color w:val="000000"/>
          <w:szCs w:val="20"/>
        </w:rPr>
        <w:t xml:space="preserve">. When the company's profit decreases as a result of decreased sales, it will certainly have an impact on the </w:t>
      </w:r>
      <w:r>
        <w:rPr>
          <w:color w:val="000000"/>
          <w:szCs w:val="20"/>
        </w:rPr>
        <w:t>profitability</w:t>
      </w:r>
      <w:r w:rsidRPr="00256EEC">
        <w:rPr>
          <w:color w:val="000000"/>
          <w:szCs w:val="20"/>
        </w:rPr>
        <w:t xml:space="preserve">. The decline in sales will have an impact on the decline in profits if the company is still unable to reduce the company's operating costs or other costs outside the operational costs which are also taken into account in the company's profit value. The results of this research are supported by Istiningrum (2005) </w:t>
      </w:r>
      <w:r w:rsidR="005D2E67">
        <w:rPr>
          <w:color w:val="000000"/>
          <w:szCs w:val="20"/>
        </w:rPr>
        <w:t xml:space="preserve">stating </w:t>
      </w:r>
      <w:r w:rsidRPr="00256EEC">
        <w:rPr>
          <w:color w:val="000000"/>
          <w:szCs w:val="20"/>
        </w:rPr>
        <w:t xml:space="preserve">that the returns on assets (ROA) of service companies before the monetary crisis and during the monetary crisis </w:t>
      </w:r>
      <w:r>
        <w:rPr>
          <w:color w:val="000000"/>
          <w:szCs w:val="20"/>
        </w:rPr>
        <w:t xml:space="preserve">decreased </w:t>
      </w:r>
      <w:r w:rsidRPr="00256EEC">
        <w:rPr>
          <w:color w:val="000000"/>
          <w:szCs w:val="20"/>
        </w:rPr>
        <w:t xml:space="preserve">significantly. </w:t>
      </w:r>
      <w:r w:rsidR="005D2E67">
        <w:rPr>
          <w:color w:val="000000"/>
          <w:szCs w:val="20"/>
        </w:rPr>
        <w:t>Rofiqoh (2001) also states</w:t>
      </w:r>
      <w:r w:rsidRPr="00256EEC">
        <w:rPr>
          <w:color w:val="000000"/>
          <w:szCs w:val="20"/>
        </w:rPr>
        <w:t xml:space="preserve"> that there was a decline in the financial performance of public companies on the Jakarta Stock Exchange for all sectors during the crisis, especially at the level of ability to generate profits as indicated by a significant decrease in ROA. Regarding the </w:t>
      </w:r>
      <w:r w:rsidR="005D2E67">
        <w:rPr>
          <w:color w:val="000000"/>
          <w:szCs w:val="20"/>
        </w:rPr>
        <w:t>firms’ activity ratio, as measured using</w:t>
      </w:r>
      <w:r w:rsidRPr="00256EEC">
        <w:rPr>
          <w:color w:val="000000"/>
          <w:szCs w:val="20"/>
        </w:rPr>
        <w:t xml:space="preserve"> receivable turnover, the results of this research show an increase in the average value of receivable turnover, which means that a significant decrease in average receivables accompanies a decrease in sales. A significant decrease in average receivables can be caused by intensive collection from companies for outstanding receivables as a form of early anticipation of an economic sit</w:t>
      </w:r>
      <w:r w:rsidR="00FB036C">
        <w:rPr>
          <w:color w:val="000000"/>
          <w:szCs w:val="20"/>
        </w:rPr>
        <w:t>uation such as during the COVID</w:t>
      </w:r>
      <w:r w:rsidR="00FB036C">
        <w:rPr>
          <w:color w:val="000000"/>
          <w:szCs w:val="20"/>
          <w:lang w:val="id-ID"/>
        </w:rPr>
        <w:t>-</w:t>
      </w:r>
      <w:r w:rsidRPr="00256EEC">
        <w:rPr>
          <w:color w:val="000000"/>
          <w:szCs w:val="20"/>
        </w:rPr>
        <w:t>19 pandemic.</w:t>
      </w:r>
    </w:p>
    <w:p w:rsidR="00E41E14" w:rsidRDefault="00E90A84" w:rsidP="00787A83">
      <w:pPr>
        <w:pStyle w:val="Ventura-Content"/>
        <w:ind w:firstLine="709"/>
        <w:rPr>
          <w:color w:val="000000"/>
          <w:szCs w:val="20"/>
          <w:lang w:val="id-ID"/>
        </w:rPr>
      </w:pPr>
      <w:r w:rsidRPr="00256EEC">
        <w:rPr>
          <w:color w:val="000000"/>
          <w:szCs w:val="20"/>
        </w:rPr>
        <w:t xml:space="preserve">Based on the descriptive analysis results, it is found that there are various changes in the value of the </w:t>
      </w:r>
      <w:r w:rsidR="005D2E67">
        <w:rPr>
          <w:color w:val="000000"/>
          <w:szCs w:val="20"/>
        </w:rPr>
        <w:t>liquidity</w:t>
      </w:r>
      <w:r w:rsidRPr="00256EEC">
        <w:rPr>
          <w:color w:val="000000"/>
          <w:szCs w:val="20"/>
        </w:rPr>
        <w:t xml:space="preserve">, </w:t>
      </w:r>
      <w:r w:rsidR="005D2E67">
        <w:rPr>
          <w:color w:val="000000"/>
          <w:szCs w:val="20"/>
        </w:rPr>
        <w:t>leverage</w:t>
      </w:r>
      <w:r w:rsidRPr="00256EEC">
        <w:rPr>
          <w:color w:val="000000"/>
          <w:szCs w:val="20"/>
        </w:rPr>
        <w:t xml:space="preserve">, </w:t>
      </w:r>
      <w:r w:rsidR="005D2E67">
        <w:rPr>
          <w:color w:val="000000"/>
          <w:szCs w:val="20"/>
        </w:rPr>
        <w:t>profitability</w:t>
      </w:r>
      <w:r w:rsidRPr="00256EEC">
        <w:rPr>
          <w:color w:val="000000"/>
          <w:szCs w:val="20"/>
        </w:rPr>
        <w:t xml:space="preserve">, and </w:t>
      </w:r>
      <w:r w:rsidR="005D2E67">
        <w:rPr>
          <w:color w:val="000000"/>
          <w:szCs w:val="20"/>
        </w:rPr>
        <w:t>activity ratios</w:t>
      </w:r>
      <w:r w:rsidRPr="00256EEC">
        <w:rPr>
          <w:color w:val="000000"/>
          <w:szCs w:val="20"/>
        </w:rPr>
        <w:t xml:space="preserve"> for each sector of the industry. The sector that experiences an increase in </w:t>
      </w:r>
      <w:r w:rsidR="005D2E67">
        <w:rPr>
          <w:color w:val="000000"/>
          <w:szCs w:val="20"/>
        </w:rPr>
        <w:t>liquidity</w:t>
      </w:r>
      <w:r w:rsidRPr="00256EEC">
        <w:rPr>
          <w:color w:val="000000"/>
          <w:szCs w:val="20"/>
        </w:rPr>
        <w:t xml:space="preserve">, </w:t>
      </w:r>
      <w:r w:rsidR="005D2E67">
        <w:rPr>
          <w:color w:val="000000"/>
          <w:szCs w:val="20"/>
        </w:rPr>
        <w:t>profitability</w:t>
      </w:r>
      <w:r w:rsidRPr="00256EEC">
        <w:rPr>
          <w:color w:val="000000"/>
          <w:szCs w:val="20"/>
        </w:rPr>
        <w:t xml:space="preserve">, </w:t>
      </w:r>
      <w:r w:rsidR="005D2E67">
        <w:rPr>
          <w:color w:val="000000"/>
          <w:szCs w:val="20"/>
        </w:rPr>
        <w:t>and activity</w:t>
      </w:r>
      <w:r w:rsidRPr="00256EEC">
        <w:rPr>
          <w:color w:val="000000"/>
          <w:szCs w:val="20"/>
        </w:rPr>
        <w:t xml:space="preserve">, as well as decreased </w:t>
      </w:r>
      <w:r w:rsidR="005D2E67">
        <w:rPr>
          <w:color w:val="000000"/>
          <w:szCs w:val="20"/>
        </w:rPr>
        <w:t>leverage, is the consumer g</w:t>
      </w:r>
      <w:r w:rsidRPr="00256EEC">
        <w:rPr>
          <w:color w:val="000000"/>
          <w:szCs w:val="20"/>
        </w:rPr>
        <w:t xml:space="preserve">oods sector. </w:t>
      </w:r>
      <w:r w:rsidR="005D2E67">
        <w:rPr>
          <w:color w:val="000000"/>
          <w:szCs w:val="20"/>
        </w:rPr>
        <w:t>The consumer g</w:t>
      </w:r>
      <w:r w:rsidRPr="00256EEC">
        <w:rPr>
          <w:color w:val="000000"/>
          <w:szCs w:val="20"/>
        </w:rPr>
        <w:t>oods sector includ</w:t>
      </w:r>
      <w:r>
        <w:rPr>
          <w:color w:val="000000"/>
          <w:szCs w:val="20"/>
        </w:rPr>
        <w:t xml:space="preserve">es food and beverage, tobacco </w:t>
      </w:r>
      <w:r>
        <w:rPr>
          <w:color w:val="000000"/>
          <w:szCs w:val="20"/>
          <w:lang w:val="id-ID"/>
        </w:rPr>
        <w:t>manufacture</w:t>
      </w:r>
      <w:r w:rsidRPr="00256EEC">
        <w:rPr>
          <w:color w:val="000000"/>
          <w:szCs w:val="20"/>
        </w:rPr>
        <w:t>, pharmaceuticals, cosmetics, and houseware. The COVID-19 crisis will not reduce people's need for food, household needs, and health needs. This subsector will continue to survive and even experience a surge in financial performance amidst the economic cri</w:t>
      </w:r>
      <w:r w:rsidR="00FB036C">
        <w:rPr>
          <w:color w:val="000000"/>
          <w:szCs w:val="20"/>
        </w:rPr>
        <w:t>sis caused by the current COVID</w:t>
      </w:r>
      <w:r w:rsidR="00FB036C">
        <w:rPr>
          <w:color w:val="000000"/>
          <w:szCs w:val="20"/>
          <w:lang w:val="id-ID"/>
        </w:rPr>
        <w:t>-</w:t>
      </w:r>
      <w:r w:rsidRPr="00256EEC">
        <w:rPr>
          <w:color w:val="000000"/>
          <w:szCs w:val="20"/>
        </w:rPr>
        <w:t xml:space="preserve">19 pandemic. Meanwhile, sectors that experience a decline in </w:t>
      </w:r>
      <w:r w:rsidR="005D2E67">
        <w:rPr>
          <w:color w:val="000000"/>
          <w:szCs w:val="20"/>
        </w:rPr>
        <w:t>liquidity</w:t>
      </w:r>
      <w:r w:rsidRPr="00256EEC">
        <w:rPr>
          <w:color w:val="000000"/>
          <w:szCs w:val="20"/>
        </w:rPr>
        <w:t xml:space="preserve"> and </w:t>
      </w:r>
      <w:r w:rsidR="005D2E67">
        <w:rPr>
          <w:color w:val="000000"/>
          <w:szCs w:val="20"/>
        </w:rPr>
        <w:t>profitability</w:t>
      </w:r>
      <w:r w:rsidRPr="00256EEC">
        <w:rPr>
          <w:color w:val="000000"/>
          <w:szCs w:val="20"/>
        </w:rPr>
        <w:t xml:space="preserve"> include property, real estate and building construction, finance, trade, services, and investment. The results of this study support Hadiwardoyo (2020) </w:t>
      </w:r>
      <w:r w:rsidR="005D2E67">
        <w:rPr>
          <w:color w:val="000000"/>
          <w:szCs w:val="20"/>
        </w:rPr>
        <w:t xml:space="preserve">stating </w:t>
      </w:r>
      <w:r w:rsidRPr="00256EEC">
        <w:rPr>
          <w:color w:val="000000"/>
          <w:szCs w:val="20"/>
        </w:rPr>
        <w:t xml:space="preserve">that the business sectors that </w:t>
      </w:r>
      <w:r w:rsidRPr="00256EEC">
        <w:rPr>
          <w:color w:val="000000"/>
          <w:szCs w:val="20"/>
        </w:rPr>
        <w:lastRenderedPageBreak/>
        <w:t>are greatl</w:t>
      </w:r>
      <w:r w:rsidR="00FB036C">
        <w:rPr>
          <w:color w:val="000000"/>
          <w:szCs w:val="20"/>
        </w:rPr>
        <w:t>y affected by the current COVID</w:t>
      </w:r>
      <w:r w:rsidR="00FB036C">
        <w:rPr>
          <w:color w:val="000000"/>
          <w:szCs w:val="20"/>
          <w:lang w:val="id-ID"/>
        </w:rPr>
        <w:t>-</w:t>
      </w:r>
      <w:r w:rsidRPr="00256EEC">
        <w:rPr>
          <w:color w:val="000000"/>
          <w:szCs w:val="20"/>
        </w:rPr>
        <w:t>19 pandemic are those that rely on crowds, such as tourism and tourism supporting businesses including mass transportation, hotels, tertiary product businesses whose sales are depending on public savings funds, property, and credit institutions. The energy sector is also under great pressure due to drastically shrinking business activities, except for PLN. Meanwhile, the health sector business can generate profits for certain products such as masks, hand sanitizers, disinfectants, soaps, and other similar products.</w:t>
      </w:r>
    </w:p>
    <w:p w:rsidR="00E41E14" w:rsidRDefault="00E41E14" w:rsidP="00E41E14">
      <w:pPr>
        <w:pStyle w:val="Ventura-Content"/>
        <w:ind w:firstLine="0"/>
        <w:rPr>
          <w:color w:val="000000"/>
          <w:szCs w:val="20"/>
          <w:lang w:val="id-ID"/>
        </w:rPr>
      </w:pPr>
    </w:p>
    <w:p w:rsidR="00682AB0" w:rsidRPr="00E41E14" w:rsidRDefault="00E90A84" w:rsidP="00E41E14">
      <w:pPr>
        <w:pStyle w:val="Ventura-Content"/>
        <w:ind w:firstLine="0"/>
        <w:rPr>
          <w:b/>
          <w:color w:val="000000"/>
          <w:szCs w:val="20"/>
        </w:rPr>
      </w:pPr>
      <w:r w:rsidRPr="00E41E14">
        <w:rPr>
          <w:b/>
        </w:rPr>
        <w:t>5. CONCLUSION, IMPLICATION, SUGGESTION, AND LIMITATIONS</w:t>
      </w:r>
    </w:p>
    <w:p w:rsidR="005D2E67" w:rsidRDefault="00E90A84" w:rsidP="00896B39">
      <w:pPr>
        <w:pStyle w:val="Ventura-Content"/>
        <w:ind w:firstLine="0"/>
        <w:rPr>
          <w:color w:val="000000"/>
          <w:szCs w:val="20"/>
        </w:rPr>
      </w:pPr>
      <w:r w:rsidRPr="00BC3F5E">
        <w:rPr>
          <w:color w:val="000000"/>
          <w:szCs w:val="20"/>
        </w:rPr>
        <w:t xml:space="preserve">The conclusion that can be </w:t>
      </w:r>
      <w:r>
        <w:rPr>
          <w:color w:val="000000"/>
          <w:szCs w:val="20"/>
        </w:rPr>
        <w:t xml:space="preserve">drawn from this research is </w:t>
      </w:r>
      <w:r w:rsidR="00A95AE1">
        <w:rPr>
          <w:color w:val="000000"/>
          <w:szCs w:val="20"/>
          <w:lang w:val="id-ID"/>
        </w:rPr>
        <w:t xml:space="preserve">that a) </w:t>
      </w:r>
      <w:r w:rsidR="005F20BA">
        <w:rPr>
          <w:color w:val="000000"/>
          <w:szCs w:val="20"/>
        </w:rPr>
        <w:t xml:space="preserve">there </w:t>
      </w:r>
      <w:r w:rsidR="005F20BA">
        <w:rPr>
          <w:color w:val="000000"/>
          <w:szCs w:val="20"/>
          <w:lang w:val="id-ID"/>
        </w:rPr>
        <w:t>was</w:t>
      </w:r>
      <w:r w:rsidR="002A42E0" w:rsidRPr="00256EEC">
        <w:rPr>
          <w:color w:val="000000"/>
          <w:szCs w:val="20"/>
        </w:rPr>
        <w:t xml:space="preserve"> an increase in </w:t>
      </w:r>
      <w:r>
        <w:rPr>
          <w:color w:val="000000"/>
          <w:szCs w:val="20"/>
        </w:rPr>
        <w:t xml:space="preserve">leverage ratio </w:t>
      </w:r>
      <w:r w:rsidR="002A42E0" w:rsidRPr="00256EEC">
        <w:rPr>
          <w:color w:val="000000"/>
          <w:szCs w:val="20"/>
        </w:rPr>
        <w:t xml:space="preserve">and </w:t>
      </w:r>
      <w:r>
        <w:rPr>
          <w:color w:val="000000"/>
          <w:szCs w:val="20"/>
        </w:rPr>
        <w:t>activity ratio</w:t>
      </w:r>
      <w:r w:rsidR="00A95AE1">
        <w:rPr>
          <w:color w:val="000000"/>
          <w:szCs w:val="20"/>
          <w:lang w:val="id-ID"/>
        </w:rPr>
        <w:t>,</w:t>
      </w:r>
      <w:r w:rsidR="00A95AE1">
        <w:rPr>
          <w:color w:val="000000"/>
          <w:szCs w:val="20"/>
        </w:rPr>
        <w:t xml:space="preserve"> but </w:t>
      </w:r>
      <w:r w:rsidR="002A42E0" w:rsidRPr="00256EEC">
        <w:rPr>
          <w:color w:val="000000"/>
          <w:szCs w:val="20"/>
        </w:rPr>
        <w:t xml:space="preserve">a decrease in </w:t>
      </w:r>
      <w:r>
        <w:rPr>
          <w:color w:val="000000"/>
          <w:szCs w:val="20"/>
        </w:rPr>
        <w:t xml:space="preserve">liquidity ratio </w:t>
      </w:r>
      <w:r w:rsidR="002A42E0" w:rsidRPr="00256EEC">
        <w:rPr>
          <w:color w:val="000000"/>
          <w:szCs w:val="20"/>
        </w:rPr>
        <w:t xml:space="preserve">and </w:t>
      </w:r>
      <w:r>
        <w:rPr>
          <w:color w:val="000000"/>
          <w:szCs w:val="20"/>
        </w:rPr>
        <w:t>profitability ratio</w:t>
      </w:r>
      <w:r w:rsidR="002A42E0" w:rsidRPr="00256EEC">
        <w:rPr>
          <w:color w:val="000000"/>
          <w:szCs w:val="20"/>
        </w:rPr>
        <w:t xml:space="preserve"> </w:t>
      </w:r>
      <w:r w:rsidR="00A95AE1">
        <w:rPr>
          <w:color w:val="000000"/>
          <w:szCs w:val="20"/>
          <w:lang w:val="id-ID"/>
        </w:rPr>
        <w:t xml:space="preserve">in the public companies </w:t>
      </w:r>
      <w:r w:rsidR="002A42E0" w:rsidRPr="00256EEC">
        <w:rPr>
          <w:color w:val="000000"/>
          <w:szCs w:val="20"/>
        </w:rPr>
        <w:t>dur</w:t>
      </w:r>
      <w:r w:rsidR="00A95AE1">
        <w:rPr>
          <w:color w:val="000000"/>
          <w:szCs w:val="20"/>
        </w:rPr>
        <w:t>ing the COVID</w:t>
      </w:r>
      <w:r w:rsidR="00A95AE1">
        <w:rPr>
          <w:color w:val="000000"/>
          <w:szCs w:val="20"/>
          <w:lang w:val="id-ID"/>
        </w:rPr>
        <w:t>-</w:t>
      </w:r>
      <w:r w:rsidR="00A95AE1">
        <w:rPr>
          <w:color w:val="000000"/>
          <w:szCs w:val="20"/>
        </w:rPr>
        <w:t>19 pandemic</w:t>
      </w:r>
      <w:r w:rsidR="00A95AE1">
        <w:rPr>
          <w:color w:val="000000"/>
          <w:szCs w:val="20"/>
          <w:lang w:val="id-ID"/>
        </w:rPr>
        <w:t xml:space="preserve">; b) </w:t>
      </w:r>
      <w:r w:rsidR="005F20BA">
        <w:rPr>
          <w:color w:val="000000"/>
          <w:szCs w:val="20"/>
        </w:rPr>
        <w:t xml:space="preserve">there </w:t>
      </w:r>
      <w:r w:rsidR="005F20BA">
        <w:rPr>
          <w:color w:val="000000"/>
          <w:szCs w:val="20"/>
          <w:lang w:val="id-ID"/>
        </w:rPr>
        <w:t>was</w:t>
      </w:r>
      <w:r w:rsidR="002A42E0" w:rsidRPr="00256EEC">
        <w:rPr>
          <w:color w:val="000000"/>
          <w:szCs w:val="20"/>
        </w:rPr>
        <w:t xml:space="preserve"> no significant difference in </w:t>
      </w:r>
      <w:r>
        <w:rPr>
          <w:color w:val="000000"/>
          <w:szCs w:val="20"/>
        </w:rPr>
        <w:t>the liquidity ratio</w:t>
      </w:r>
      <w:r w:rsidR="005F20BA">
        <w:rPr>
          <w:color w:val="000000"/>
          <w:szCs w:val="20"/>
        </w:rPr>
        <w:t xml:space="preserve"> and </w:t>
      </w:r>
      <w:r>
        <w:rPr>
          <w:color w:val="000000"/>
          <w:szCs w:val="20"/>
        </w:rPr>
        <w:t>leverage ratio</w:t>
      </w:r>
      <w:r w:rsidR="005F20BA">
        <w:rPr>
          <w:color w:val="000000"/>
          <w:szCs w:val="20"/>
        </w:rPr>
        <w:t xml:space="preserve">, but there </w:t>
      </w:r>
      <w:r w:rsidR="005F20BA">
        <w:rPr>
          <w:color w:val="000000"/>
          <w:szCs w:val="20"/>
          <w:lang w:val="id-ID"/>
        </w:rPr>
        <w:t>was</w:t>
      </w:r>
      <w:r w:rsidR="002A42E0" w:rsidRPr="00256EEC">
        <w:rPr>
          <w:color w:val="000000"/>
          <w:szCs w:val="20"/>
        </w:rPr>
        <w:t xml:space="preserve"> a significant difference in the </w:t>
      </w:r>
      <w:r>
        <w:rPr>
          <w:color w:val="000000"/>
          <w:szCs w:val="20"/>
        </w:rPr>
        <w:t>profitability ratio and activity ratio</w:t>
      </w:r>
      <w:r w:rsidR="002A42E0" w:rsidRPr="00256EEC">
        <w:rPr>
          <w:color w:val="000000"/>
          <w:szCs w:val="20"/>
        </w:rPr>
        <w:t xml:space="preserve"> </w:t>
      </w:r>
      <w:r w:rsidR="00A95AE1">
        <w:rPr>
          <w:color w:val="000000"/>
          <w:szCs w:val="20"/>
          <w:lang w:val="id-ID"/>
        </w:rPr>
        <w:t xml:space="preserve">in the public companies </w:t>
      </w:r>
      <w:r w:rsidR="002A42E0" w:rsidRPr="00256EEC">
        <w:rPr>
          <w:color w:val="000000"/>
          <w:szCs w:val="20"/>
        </w:rPr>
        <w:t>betw</w:t>
      </w:r>
      <w:r w:rsidR="00A95AE1">
        <w:rPr>
          <w:color w:val="000000"/>
          <w:szCs w:val="20"/>
        </w:rPr>
        <w:t>een before and during the COVID</w:t>
      </w:r>
      <w:r w:rsidR="00A95AE1">
        <w:rPr>
          <w:color w:val="000000"/>
          <w:szCs w:val="20"/>
          <w:lang w:val="id-ID"/>
        </w:rPr>
        <w:t>-</w:t>
      </w:r>
      <w:r w:rsidR="00A95AE1">
        <w:rPr>
          <w:color w:val="000000"/>
          <w:szCs w:val="20"/>
        </w:rPr>
        <w:t>19 pandemic</w:t>
      </w:r>
      <w:r w:rsidR="00A95AE1">
        <w:rPr>
          <w:color w:val="000000"/>
          <w:szCs w:val="20"/>
          <w:lang w:val="id-ID"/>
        </w:rPr>
        <w:t>;</w:t>
      </w:r>
      <w:r w:rsidR="005F20BA">
        <w:rPr>
          <w:color w:val="000000"/>
          <w:szCs w:val="20"/>
        </w:rPr>
        <w:t xml:space="preserve"> and c) the sector that </w:t>
      </w:r>
      <w:r w:rsidR="005F20BA">
        <w:rPr>
          <w:color w:val="000000"/>
          <w:szCs w:val="20"/>
          <w:lang w:val="id-ID"/>
        </w:rPr>
        <w:t>experienced</w:t>
      </w:r>
      <w:r w:rsidR="002A42E0" w:rsidRPr="00256EEC">
        <w:rPr>
          <w:color w:val="000000"/>
          <w:szCs w:val="20"/>
        </w:rPr>
        <w:t xml:space="preserve"> an increase in </w:t>
      </w:r>
      <w:r>
        <w:rPr>
          <w:color w:val="000000"/>
          <w:szCs w:val="20"/>
        </w:rPr>
        <w:t>liquidity ratio, profitability ratio, and activity ratios is consumer g</w:t>
      </w:r>
      <w:r w:rsidR="002A42E0" w:rsidRPr="00256EEC">
        <w:rPr>
          <w:color w:val="000000"/>
          <w:szCs w:val="20"/>
        </w:rPr>
        <w:t>oods sector, w</w:t>
      </w:r>
      <w:r w:rsidR="005F20BA">
        <w:rPr>
          <w:color w:val="000000"/>
          <w:szCs w:val="20"/>
        </w:rPr>
        <w:t xml:space="preserve">hile the sectors that </w:t>
      </w:r>
      <w:r w:rsidR="005F20BA">
        <w:rPr>
          <w:color w:val="000000"/>
          <w:szCs w:val="20"/>
          <w:lang w:val="id-ID"/>
        </w:rPr>
        <w:t>experienced</w:t>
      </w:r>
      <w:r w:rsidR="002A42E0" w:rsidRPr="00256EEC">
        <w:rPr>
          <w:color w:val="000000"/>
          <w:szCs w:val="20"/>
        </w:rPr>
        <w:t xml:space="preserve"> a de</w:t>
      </w:r>
      <w:r w:rsidR="00A95AE1">
        <w:rPr>
          <w:color w:val="000000"/>
          <w:szCs w:val="20"/>
        </w:rPr>
        <w:t xml:space="preserve">crease in the </w:t>
      </w:r>
      <w:r>
        <w:rPr>
          <w:color w:val="000000"/>
          <w:szCs w:val="20"/>
        </w:rPr>
        <w:t xml:space="preserve">liquidity ratio and profitability ratio are </w:t>
      </w:r>
      <w:r w:rsidR="002A42E0" w:rsidRPr="00256EEC">
        <w:rPr>
          <w:color w:val="000000"/>
          <w:szCs w:val="20"/>
        </w:rPr>
        <w:t>property, real estate and building construction, finance, trade, services, and investment</w:t>
      </w:r>
      <w:r>
        <w:rPr>
          <w:color w:val="000000"/>
          <w:szCs w:val="20"/>
        </w:rPr>
        <w:t xml:space="preserve"> sector.</w:t>
      </w:r>
    </w:p>
    <w:p w:rsidR="005D2E67" w:rsidRDefault="00E90A84" w:rsidP="005D2E67">
      <w:pPr>
        <w:pStyle w:val="Ventura-Content"/>
        <w:ind w:firstLine="720"/>
        <w:rPr>
          <w:color w:val="000000"/>
          <w:szCs w:val="20"/>
        </w:rPr>
      </w:pPr>
      <w:r w:rsidRPr="00256EEC">
        <w:rPr>
          <w:color w:val="000000"/>
          <w:szCs w:val="20"/>
        </w:rPr>
        <w:t xml:space="preserve">This study's results can be used as a source of relevant information for investors or potential investors in making investment decisions during a </w:t>
      </w:r>
      <w:r w:rsidR="00A95AE1">
        <w:rPr>
          <w:color w:val="000000"/>
          <w:szCs w:val="20"/>
        </w:rPr>
        <w:t>crisis due to the current COVID</w:t>
      </w:r>
      <w:r w:rsidR="00A95AE1">
        <w:rPr>
          <w:color w:val="000000"/>
          <w:szCs w:val="20"/>
          <w:lang w:val="id-ID"/>
        </w:rPr>
        <w:t>-</w:t>
      </w:r>
      <w:r w:rsidRPr="00256EEC">
        <w:rPr>
          <w:color w:val="000000"/>
          <w:szCs w:val="20"/>
        </w:rPr>
        <w:t>19 pandemic. This study's results can also be used as information for the government regard</w:t>
      </w:r>
      <w:r w:rsidR="00A95AE1">
        <w:rPr>
          <w:color w:val="000000"/>
          <w:szCs w:val="20"/>
        </w:rPr>
        <w:t xml:space="preserve">ing the </w:t>
      </w:r>
      <w:r w:rsidR="00A95AE1">
        <w:rPr>
          <w:color w:val="000000"/>
          <w:szCs w:val="20"/>
          <w:lang w:val="id-ID"/>
        </w:rPr>
        <w:t>relevance</w:t>
      </w:r>
      <w:r w:rsidRPr="00256EEC">
        <w:rPr>
          <w:color w:val="000000"/>
          <w:szCs w:val="20"/>
        </w:rPr>
        <w:t xml:space="preserve"> of providing the right tax incentives for the affected sectors so that tax incentives can</w:t>
      </w:r>
      <w:r>
        <w:rPr>
          <w:color w:val="000000"/>
          <w:szCs w:val="20"/>
        </w:rPr>
        <w:t xml:space="preserve"> be given to the right sectors.</w:t>
      </w:r>
    </w:p>
    <w:p w:rsidR="00E41E14" w:rsidRDefault="00E90A84" w:rsidP="005D2E67">
      <w:pPr>
        <w:pStyle w:val="Ventura-Content"/>
        <w:ind w:firstLine="720"/>
        <w:rPr>
          <w:color w:val="000000"/>
          <w:szCs w:val="20"/>
          <w:lang w:val="id-ID"/>
        </w:rPr>
      </w:pPr>
      <w:r w:rsidRPr="00256EEC">
        <w:rPr>
          <w:color w:val="000000"/>
          <w:szCs w:val="20"/>
        </w:rPr>
        <w:t>This research's limitation is that the research has not examined changes in each subsector's financial performance so that the research results are still general for each industrial sector. Besides, testing could only be carried out until the second</w:t>
      </w:r>
      <w:r w:rsidR="00A95AE1">
        <w:rPr>
          <w:color w:val="000000"/>
          <w:szCs w:val="20"/>
        </w:rPr>
        <w:t xml:space="preserve"> quarter of 2020, when the COVID</w:t>
      </w:r>
      <w:r w:rsidR="00A95AE1">
        <w:rPr>
          <w:color w:val="000000"/>
          <w:szCs w:val="20"/>
          <w:lang w:val="id-ID"/>
        </w:rPr>
        <w:t>-</w:t>
      </w:r>
      <w:r w:rsidRPr="00256EEC">
        <w:rPr>
          <w:color w:val="000000"/>
          <w:szCs w:val="20"/>
        </w:rPr>
        <w:t>19 pandemic began to enter Indonesia because the public companies' financial re</w:t>
      </w:r>
      <w:r w:rsidR="00A95AE1">
        <w:rPr>
          <w:color w:val="000000"/>
          <w:szCs w:val="20"/>
        </w:rPr>
        <w:t xml:space="preserve">ports </w:t>
      </w:r>
      <w:r w:rsidRPr="00256EEC">
        <w:rPr>
          <w:color w:val="000000"/>
          <w:szCs w:val="20"/>
        </w:rPr>
        <w:t>were only until the second quarter of 2020. Further research is exp</w:t>
      </w:r>
      <w:r w:rsidR="00A95AE1">
        <w:rPr>
          <w:color w:val="000000"/>
          <w:szCs w:val="20"/>
        </w:rPr>
        <w:t xml:space="preserve">ected to carry out more </w:t>
      </w:r>
      <w:r w:rsidR="00A95AE1">
        <w:rPr>
          <w:color w:val="000000"/>
          <w:szCs w:val="20"/>
          <w:lang w:val="id-ID"/>
        </w:rPr>
        <w:t>in-depth</w:t>
      </w:r>
      <w:r w:rsidRPr="00256EEC">
        <w:rPr>
          <w:color w:val="000000"/>
          <w:szCs w:val="20"/>
        </w:rPr>
        <w:t xml:space="preserve"> research related to the sub-sector with the highest potential for increased financial performance so that investor attention can be more specific. Further research is also expected to add an analysis period after the companies publish their third-quarter 2020 financial reports to test the consistency of this study's results. </w:t>
      </w:r>
    </w:p>
    <w:p w:rsidR="00E41E14" w:rsidRDefault="00E41E14" w:rsidP="00896B39">
      <w:pPr>
        <w:pStyle w:val="Ventura-Content"/>
        <w:ind w:firstLine="0"/>
        <w:rPr>
          <w:color w:val="000000"/>
          <w:szCs w:val="20"/>
          <w:lang w:val="id-ID"/>
        </w:rPr>
      </w:pPr>
    </w:p>
    <w:p w:rsidR="00896B39" w:rsidRPr="00E41E14" w:rsidRDefault="00E90A84" w:rsidP="00896B39">
      <w:pPr>
        <w:pStyle w:val="Ventura-Content"/>
        <w:ind w:firstLine="0"/>
        <w:rPr>
          <w:color w:val="000000"/>
          <w:szCs w:val="20"/>
        </w:rPr>
      </w:pPr>
      <w:r w:rsidRPr="00256EEC">
        <w:rPr>
          <w:b/>
          <w:color w:val="000000"/>
          <w:szCs w:val="20"/>
        </w:rPr>
        <w:t>REFERENCES</w:t>
      </w:r>
    </w:p>
    <w:p w:rsidR="00243C66" w:rsidRPr="000B5866" w:rsidRDefault="00E90A84" w:rsidP="00243C66">
      <w:pPr>
        <w:pStyle w:val="Ventura-Formula"/>
        <w:ind w:left="709" w:hanging="709"/>
        <w:rPr>
          <w:lang w:val="id-ID"/>
        </w:rPr>
      </w:pPr>
      <w:r w:rsidRPr="000B5866">
        <w:t xml:space="preserve">Abbas, D. S. (2018). Pengaruh current ratio, account receivable turnover, inventory turnover, total </w:t>
      </w:r>
      <w:r w:rsidRPr="000B5866">
        <w:rPr>
          <w:lang w:val="id-ID"/>
        </w:rPr>
        <w:t>asset</w:t>
      </w:r>
      <w:r w:rsidRPr="000B5866">
        <w:t xml:space="preserve"> turnover dan debt to equity terhadap return on asset (pada perusahaan sub sektor otomotif dan komponen yang terdaftar di Bursa Efek Indonesia Periode 2011-2014), </w:t>
      </w:r>
      <w:r w:rsidRPr="000B5866">
        <w:rPr>
          <w:i/>
        </w:rPr>
        <w:t>Competitive,</w:t>
      </w:r>
      <w:r w:rsidRPr="000B5866">
        <w:t xml:space="preserve"> 2(1), 55–72.</w:t>
      </w:r>
    </w:p>
    <w:p w:rsidR="00243C66" w:rsidRPr="000B5866" w:rsidRDefault="00E90A84" w:rsidP="00243C66">
      <w:pPr>
        <w:pStyle w:val="Ventura-Formula"/>
        <w:ind w:left="709" w:hanging="709"/>
        <w:rPr>
          <w:lang w:val="id-ID"/>
        </w:rPr>
      </w:pPr>
      <w:r w:rsidRPr="000B5866">
        <w:t>Adiningsih, S., Rahutami, I., Anwar, R., Wijaya, A., &amp; Wardani, E. (2008). Satu dekade pasca</w:t>
      </w:r>
      <w:r w:rsidRPr="000B5866">
        <w:rPr>
          <w:lang w:val="id-ID"/>
        </w:rPr>
        <w:t>-</w:t>
      </w:r>
      <w:r w:rsidRPr="000B5866">
        <w:t>krisis indonesia: badai pasti berlalu?Kanisius. Yogyakarta: Kanisius.</w:t>
      </w:r>
    </w:p>
    <w:p w:rsidR="00243C66" w:rsidRPr="000B5866" w:rsidRDefault="00E90A84" w:rsidP="00243C66">
      <w:pPr>
        <w:pStyle w:val="Ventura-Formula"/>
        <w:ind w:left="709" w:hanging="709"/>
        <w:rPr>
          <w:lang w:val="id-ID"/>
        </w:rPr>
      </w:pPr>
      <w:r w:rsidRPr="000B5866">
        <w:t xml:space="preserve">Armansyah, R. F. &amp; Effendi, M. B. (2017). Modeling the financial crisis in Indonesia. </w:t>
      </w:r>
      <w:r w:rsidRPr="000B5866">
        <w:rPr>
          <w:i/>
        </w:rPr>
        <w:t>Ventura-Journal of Economics, Business, and Accountancy</w:t>
      </w:r>
      <w:r w:rsidRPr="000B5866">
        <w:t>, 20(2), 125-132</w:t>
      </w:r>
    </w:p>
    <w:p w:rsidR="00243C66" w:rsidRPr="000B5866" w:rsidRDefault="00E90A84" w:rsidP="00243C66">
      <w:pPr>
        <w:pStyle w:val="Ventura-Formula"/>
        <w:ind w:left="709" w:hanging="709"/>
        <w:rPr>
          <w:lang w:val="id-ID"/>
        </w:rPr>
      </w:pPr>
      <w:r w:rsidRPr="000B5866">
        <w:t xml:space="preserve">Bintang, F.M., Malikah, A., &amp; Afifudin. (2019). Pengaruh opini audit tahun sebelumnya, debt default, rasio likuiditas, rasio leverage terhadap opini audit going concern. </w:t>
      </w:r>
      <w:r w:rsidRPr="000B5866">
        <w:rPr>
          <w:i/>
        </w:rPr>
        <w:t>E-JRA</w:t>
      </w:r>
      <w:r w:rsidRPr="000B5866">
        <w:t>, 8(10), 98–115.</w:t>
      </w:r>
    </w:p>
    <w:p w:rsidR="00243C66" w:rsidRPr="000B5866" w:rsidRDefault="00E90A84" w:rsidP="00243C66">
      <w:pPr>
        <w:pStyle w:val="Ventura-Formula"/>
        <w:ind w:left="709" w:hanging="709"/>
        <w:rPr>
          <w:lang w:val="id-ID"/>
        </w:rPr>
      </w:pPr>
      <w:r w:rsidRPr="000B5866">
        <w:t xml:space="preserve">Burhanuddin, C. I. &amp; Abdi, M. N. (2020). Ancaman krisis ekonomi global dari dampak penyebaran virus Corona (Covid-19). </w:t>
      </w:r>
      <w:r w:rsidRPr="000B5866">
        <w:rPr>
          <w:i/>
        </w:rPr>
        <w:t>AkMen</w:t>
      </w:r>
      <w:r w:rsidRPr="000B5866">
        <w:t xml:space="preserve">, 17(1), 90–98. </w:t>
      </w:r>
    </w:p>
    <w:p w:rsidR="00243C66" w:rsidRPr="000B5866" w:rsidRDefault="00E90A84" w:rsidP="00243C66">
      <w:pPr>
        <w:pStyle w:val="Ventura-Formula"/>
        <w:ind w:left="709" w:hanging="709"/>
        <w:rPr>
          <w:lang w:val="id-ID"/>
        </w:rPr>
      </w:pPr>
      <w:r w:rsidRPr="000B5866">
        <w:t xml:space="preserve">Carlson, M. &amp; Macchiavelli, M. (2020). Emergency loans &amp; collateral upgrades: How broker-dealers used Federal Reserve credit during the 2008 financial crisis. </w:t>
      </w:r>
      <w:r w:rsidRPr="000B5866">
        <w:rPr>
          <w:i/>
        </w:rPr>
        <w:t>Journal of Financial Economics</w:t>
      </w:r>
      <w:r w:rsidRPr="000B5866">
        <w:t>, 137(3), 701–722.</w:t>
      </w:r>
    </w:p>
    <w:p w:rsidR="00243C66" w:rsidRPr="000B5866" w:rsidRDefault="00E90A84" w:rsidP="00243C66">
      <w:pPr>
        <w:pStyle w:val="Ventura-Formula"/>
        <w:ind w:left="709" w:hanging="709"/>
        <w:rPr>
          <w:lang w:val="id-ID"/>
        </w:rPr>
      </w:pPr>
      <w:r w:rsidRPr="000B5866">
        <w:t xml:space="preserve">Davici, N. (2018). Pengaruh tekanan eksternal, komitmen pimpinan dan faktor politik terhadap transparansi laporan keuangan (Studi empiris pada organisasi perangkat daerah Kabupaten Agam). </w:t>
      </w:r>
      <w:r w:rsidRPr="000B5866">
        <w:rPr>
          <w:i/>
        </w:rPr>
        <w:t>Jurnal Akuntansi</w:t>
      </w:r>
      <w:r w:rsidRPr="000B5866">
        <w:t xml:space="preserve">, 6(1), 1-20. </w:t>
      </w:r>
    </w:p>
    <w:p w:rsidR="00243C66" w:rsidRPr="000B5866" w:rsidRDefault="00E90A84" w:rsidP="00243C66">
      <w:pPr>
        <w:pStyle w:val="Ventura-Formula"/>
        <w:ind w:left="709" w:hanging="709"/>
        <w:rPr>
          <w:lang w:val="id-ID"/>
        </w:rPr>
      </w:pPr>
      <w:r w:rsidRPr="000B5866">
        <w:t>Fraser, L. M. &amp; Ormiston, A. (2016). Understanding financial statement, 11th edition. Pearson</w:t>
      </w:r>
    </w:p>
    <w:p w:rsidR="00243C66" w:rsidRPr="000B5866" w:rsidRDefault="00E90A84" w:rsidP="00243C66">
      <w:pPr>
        <w:pStyle w:val="Ventura-Formula"/>
        <w:ind w:left="709" w:hanging="709"/>
        <w:rPr>
          <w:lang w:val="id-ID"/>
        </w:rPr>
      </w:pPr>
      <w:r w:rsidRPr="000B5866">
        <w:t>Foster, G. (1986). Financial statement analysis. New Jersey: Prentice Hall.</w:t>
      </w:r>
    </w:p>
    <w:p w:rsidR="00243C66" w:rsidRPr="000B5866" w:rsidRDefault="00E90A84" w:rsidP="00243C66">
      <w:pPr>
        <w:pStyle w:val="Ventura-Formula"/>
        <w:ind w:left="709" w:hanging="709"/>
        <w:rPr>
          <w:lang w:val="id-ID"/>
        </w:rPr>
      </w:pPr>
      <w:r w:rsidRPr="000B5866">
        <w:t>Fridson, M. S. &amp; Alvarez, F. (2011). Financial statement analysis: a practitioner's guide. John Wiley &amp; Sons.</w:t>
      </w:r>
    </w:p>
    <w:p w:rsidR="00243C66" w:rsidRPr="000B5866" w:rsidRDefault="00E90A84" w:rsidP="00243C66">
      <w:pPr>
        <w:pStyle w:val="Ventura-Formula"/>
        <w:ind w:left="709" w:hanging="709"/>
        <w:rPr>
          <w:lang w:val="id-ID"/>
        </w:rPr>
      </w:pPr>
      <w:r w:rsidRPr="000B5866">
        <w:t xml:space="preserve">Gunawan, D. Z. (2016). Penerapan sistem e-budgeting terhadap transparansi dan akuntabilitas keuangan publik (Studi pada Pemerintah Kota Surabaya). </w:t>
      </w:r>
      <w:r w:rsidRPr="000B5866">
        <w:rPr>
          <w:i/>
        </w:rPr>
        <w:t>Akrual</w:t>
      </w:r>
      <w:r w:rsidRPr="000B5866">
        <w:t xml:space="preserve">, 8(1), 72–102. </w:t>
      </w:r>
    </w:p>
    <w:p w:rsidR="00243C66" w:rsidRPr="000B5866" w:rsidRDefault="00E90A84" w:rsidP="00243C66">
      <w:pPr>
        <w:pStyle w:val="Ventura-Formula"/>
        <w:ind w:left="709" w:hanging="709"/>
        <w:rPr>
          <w:lang w:val="id-ID"/>
        </w:rPr>
      </w:pPr>
      <w:r w:rsidRPr="000B5866">
        <w:t xml:space="preserve">Hadiwardoyo, W. (2020). Kerugian ekonomi nasional akibat pandemi Covid-19. </w:t>
      </w:r>
      <w:r w:rsidRPr="000B5866">
        <w:rPr>
          <w:i/>
        </w:rPr>
        <w:t>Baskara Journal of Business &amp; Enterpreneurship</w:t>
      </w:r>
      <w:r w:rsidRPr="000B5866">
        <w:t>, 2(2), 83–92.</w:t>
      </w:r>
    </w:p>
    <w:p w:rsidR="00243C66" w:rsidRPr="000B5866" w:rsidRDefault="00E90A84" w:rsidP="00243C66">
      <w:pPr>
        <w:pStyle w:val="Ventura-Formula"/>
        <w:ind w:left="709" w:hanging="709"/>
        <w:rPr>
          <w:lang w:val="id-ID"/>
        </w:rPr>
      </w:pPr>
      <w:r w:rsidRPr="000B5866">
        <w:t xml:space="preserve">Hakim, L. (2012). Studi tingkat efisiensi: perbandingan besar perusahaan dan efek krisis ekonomi. </w:t>
      </w:r>
      <w:r w:rsidRPr="000B5866">
        <w:rPr>
          <w:i/>
        </w:rPr>
        <w:t xml:space="preserve">Jurnal Ilmu </w:t>
      </w:r>
      <w:r w:rsidRPr="000B5866">
        <w:rPr>
          <w:i/>
        </w:rPr>
        <w:lastRenderedPageBreak/>
        <w:t>Manajemen dan Akuntansi Terapan</w:t>
      </w:r>
      <w:r w:rsidRPr="000B5866">
        <w:t>, 3(1), 1–11.</w:t>
      </w:r>
    </w:p>
    <w:p w:rsidR="00243C66" w:rsidRPr="000B5866" w:rsidRDefault="00E90A84" w:rsidP="00243C66">
      <w:pPr>
        <w:pStyle w:val="Ventura-Formula"/>
        <w:ind w:left="709" w:hanging="709"/>
        <w:rPr>
          <w:lang w:val="id-ID"/>
        </w:rPr>
      </w:pPr>
      <w:r w:rsidRPr="000B5866">
        <w:t xml:space="preserve">Handayani, R. &amp; Zulyanti, N. R. (2018). Pengaruh earning per share (EPS), debt to equity ratio (DER), dan return on assets (ROA) terhadap return saham pada perusahaan manufaktur yang terdaftar di BEI.” </w:t>
      </w:r>
      <w:r w:rsidRPr="000B5866">
        <w:rPr>
          <w:i/>
        </w:rPr>
        <w:t>Jurnal Penelitian Ilmu Manajemen,</w:t>
      </w:r>
      <w:r w:rsidRPr="000B5866">
        <w:t xml:space="preserve"> 3(1), 615–20.</w:t>
      </w:r>
    </w:p>
    <w:p w:rsidR="00243C66" w:rsidRPr="000B5866" w:rsidRDefault="00E90A84" w:rsidP="00243C66">
      <w:pPr>
        <w:pStyle w:val="Ventura-Formula"/>
        <w:ind w:left="709" w:hanging="709"/>
        <w:rPr>
          <w:lang w:val="id-ID"/>
        </w:rPr>
      </w:pPr>
      <w:r w:rsidRPr="000B5866">
        <w:t>Harahap, S. S. (2011). Analisis kritis atas laporan keuangan. Jakarta: PT Raja Grafindo Persada.</w:t>
      </w:r>
    </w:p>
    <w:p w:rsidR="00243C66" w:rsidRPr="000B5866" w:rsidRDefault="00E90A84" w:rsidP="00243C66">
      <w:pPr>
        <w:pStyle w:val="Ventura-Formula"/>
        <w:ind w:left="709" w:hanging="709"/>
        <w:rPr>
          <w:lang w:val="id-ID"/>
        </w:rPr>
      </w:pPr>
      <w:r w:rsidRPr="000B5866">
        <w:t>Hariyanto, E. (2020). Mewaspadai terulangnya krisis ekonomi 1998 dan upaya pencegahannya. https://books.google.co.id/books?id=h6npDwAAQBAJ&amp;pg=PT94&amp;dq=krisis+ekonomi&amp;hl=id&amp;sa=X&amp;ved=2ahUKEwik-Oi915DrAhVSH7cAHbpCAj0Q6AEwAXoECAU-QAg#v=onepage&amp;q=krisis ekonomi&amp;f=false.</w:t>
      </w:r>
    </w:p>
    <w:p w:rsidR="00243C66" w:rsidRPr="000B5866" w:rsidRDefault="00E90A84" w:rsidP="00243C66">
      <w:pPr>
        <w:pStyle w:val="Ventura-Formula"/>
        <w:ind w:left="709" w:hanging="709"/>
        <w:rPr>
          <w:lang w:val="id-ID"/>
        </w:rPr>
      </w:pPr>
      <w:r w:rsidRPr="000B5866">
        <w:t xml:space="preserve">Istiningrum, A. A. (2005). Perbandingan kinerja keuangan perusahaan jasa yang terdaftar di bej sebelum dan selama krisis moneter. </w:t>
      </w:r>
      <w:r w:rsidRPr="000B5866">
        <w:rPr>
          <w:i/>
        </w:rPr>
        <w:t>Jurnal Pendidikan Akuntansi Indonesia,</w:t>
      </w:r>
      <w:r w:rsidRPr="000B5866">
        <w:t xml:space="preserve"> 4(1), 117–33.</w:t>
      </w:r>
    </w:p>
    <w:p w:rsidR="00243C66" w:rsidRPr="000B5866" w:rsidRDefault="00E90A84" w:rsidP="00243C66">
      <w:pPr>
        <w:pStyle w:val="Ventura-Formula"/>
        <w:ind w:left="709" w:hanging="709"/>
        <w:rPr>
          <w:lang w:val="id-ID"/>
        </w:rPr>
      </w:pPr>
      <w:r w:rsidRPr="000B5866">
        <w:t>Jetter, M., Magnusson, L. M., &amp; Roth, S. (2020). Becoming sensitive: Males’ risk and time preferences after the 2008 financial crisis</w:t>
      </w:r>
      <w:r w:rsidRPr="000B5866">
        <w:rPr>
          <w:i/>
        </w:rPr>
        <w:t>. European Economic Review</w:t>
      </w:r>
      <w:r w:rsidRPr="000B5866">
        <w:t xml:space="preserve">, 128. </w:t>
      </w:r>
    </w:p>
    <w:p w:rsidR="00243C66" w:rsidRPr="000B5866" w:rsidRDefault="00E90A84" w:rsidP="00243C66">
      <w:pPr>
        <w:pStyle w:val="Ventura-Formula"/>
        <w:ind w:left="709" w:hanging="709"/>
        <w:rPr>
          <w:lang w:val="id-ID"/>
        </w:rPr>
      </w:pPr>
      <w:r w:rsidRPr="000B5866">
        <w:t xml:space="preserve">Laiman, L. &amp; Hatane, S. E. (2017). Analisis dampak merger dan akuisisi terhadap kinerja keuangan pada perusahaan non keuangan yang terdaftar di Bursa Efek Indonesia periode tahun 2007–2014. </w:t>
      </w:r>
      <w:r w:rsidRPr="000B5866">
        <w:rPr>
          <w:i/>
        </w:rPr>
        <w:t>Business Accounting Journal,</w:t>
      </w:r>
      <w:r w:rsidRPr="000B5866">
        <w:t xml:space="preserve"> 5(2), 517–28. </w:t>
      </w:r>
    </w:p>
    <w:p w:rsidR="00243C66" w:rsidRPr="000B5866" w:rsidRDefault="00E90A84" w:rsidP="00243C66">
      <w:pPr>
        <w:pStyle w:val="Ventura-Formula"/>
        <w:ind w:left="709" w:hanging="709"/>
        <w:rPr>
          <w:lang w:val="id-ID"/>
        </w:rPr>
      </w:pPr>
      <w:r w:rsidRPr="000B5866">
        <w:t>Mardiasmo (2002). Akuntansi sektor publik. Jakarta: Penerbit Andi.</w:t>
      </w:r>
    </w:p>
    <w:p w:rsidR="00243C66" w:rsidRPr="000B5866" w:rsidRDefault="00E90A84" w:rsidP="00243C66">
      <w:pPr>
        <w:pStyle w:val="Ventura-Formula"/>
        <w:ind w:left="709" w:hanging="709"/>
        <w:rPr>
          <w:lang w:val="id-ID"/>
        </w:rPr>
      </w:pPr>
      <w:r w:rsidRPr="000B5866">
        <w:rPr>
          <w:color w:val="000000"/>
          <w:szCs w:val="20"/>
        </w:rPr>
        <w:t>Ministry of Finance</w:t>
      </w:r>
      <w:r w:rsidRPr="000B5866">
        <w:t xml:space="preserve">. (2020). APBN KITA (Kinerja Dan Fakta) Kaleidoskop 2020. </w:t>
      </w:r>
      <w:hyperlink r:id="rId17" w:history="1">
        <w:r w:rsidRPr="000B5866">
          <w:rPr>
            <w:rStyle w:val="Hyperlink"/>
          </w:rPr>
          <w:t>https://www.kemenkeu.go.id/media/14243/apbn-kita-januari-2020.pdf</w:t>
        </w:r>
      </w:hyperlink>
      <w:r w:rsidRPr="000B5866">
        <w:t>.</w:t>
      </w:r>
    </w:p>
    <w:p w:rsidR="00243C66" w:rsidRPr="000B5866" w:rsidRDefault="00E90A84" w:rsidP="00243C66">
      <w:pPr>
        <w:pStyle w:val="Ventura-Formula"/>
        <w:ind w:left="709" w:hanging="709"/>
        <w:rPr>
          <w:lang w:val="id-ID"/>
        </w:rPr>
      </w:pPr>
      <w:r w:rsidRPr="000B5866">
        <w:t xml:space="preserve">Modjo, M. I. (2020). Menggerakan perekonomian melalui pemulihan usaha dan industri mikro kecil menengah pasca bencana gempa bumi di Nusa Tenggara Barat. </w:t>
      </w:r>
      <w:r w:rsidRPr="000B5866">
        <w:rPr>
          <w:i/>
        </w:rPr>
        <w:t>The Indonesian Journal of Development Planning,</w:t>
      </w:r>
      <w:r w:rsidRPr="000B5866">
        <w:t xml:space="preserve"> 4(2), 103–16.</w:t>
      </w:r>
    </w:p>
    <w:p w:rsidR="00243C66" w:rsidRPr="000B5866" w:rsidRDefault="00E90A84" w:rsidP="00243C66">
      <w:pPr>
        <w:pStyle w:val="Ventura-Formula"/>
        <w:ind w:left="709" w:hanging="709"/>
        <w:rPr>
          <w:lang w:val="id-ID"/>
        </w:rPr>
      </w:pPr>
      <w:r w:rsidRPr="000B5866">
        <w:t xml:space="preserve">Mohammed, T., Mustapha, K. B., Godsell, J., Adamu, Z., Babatunde, K. A., Akintade, D. D., Acquaye, A., Fujii, H., Ndiaye, M. M., Yamoah, F. A., &amp; Koh, S. C. L. (2021). A critical review of the impacts of COVID-19 on the global economy and ecosystems and opportunities for circular economy strategies. </w:t>
      </w:r>
      <w:r w:rsidRPr="000B5866">
        <w:rPr>
          <w:i/>
        </w:rPr>
        <w:t>Resources, Conservation and Recycling</w:t>
      </w:r>
      <w:r w:rsidRPr="000B5866">
        <w:t>, 164, 105169.</w:t>
      </w:r>
    </w:p>
    <w:p w:rsidR="00243C66" w:rsidRPr="000B5866" w:rsidRDefault="00E90A84" w:rsidP="00243C66">
      <w:pPr>
        <w:pStyle w:val="Ventura-Formula"/>
        <w:ind w:left="709" w:hanging="709"/>
        <w:rPr>
          <w:lang w:val="id-ID"/>
        </w:rPr>
      </w:pPr>
      <w:r w:rsidRPr="000B5866">
        <w:t xml:space="preserve">Notta, O. &amp; Vlachvei, A. (2014). The impact of financial crisis on firm performance in case of Greek food manufacturing firms. </w:t>
      </w:r>
      <w:r w:rsidRPr="000B5866">
        <w:rPr>
          <w:i/>
        </w:rPr>
        <w:t>Procedia Economics and Finance</w:t>
      </w:r>
      <w:r w:rsidRPr="000B5866">
        <w:t>, 14, 454-460.</w:t>
      </w:r>
    </w:p>
    <w:p w:rsidR="00243C66" w:rsidRPr="000B5866" w:rsidRDefault="00E90A84" w:rsidP="00243C66">
      <w:pPr>
        <w:pStyle w:val="Ventura-Formula"/>
        <w:ind w:left="709" w:hanging="709"/>
        <w:rPr>
          <w:lang w:val="id-ID"/>
        </w:rPr>
      </w:pPr>
      <w:r w:rsidRPr="000B5866">
        <w:t xml:space="preserve">Nur, M &amp; Priantinah, D. (2012). Analisis faktor-faktor yang mempengaruhi pengungkapan corporate social responsibility di Indonesia (Studi empiris pada perusahaan berkategori high profile yang listing di Bursa Efek Indonesia). </w:t>
      </w:r>
      <w:r w:rsidRPr="000B5866">
        <w:rPr>
          <w:i/>
        </w:rPr>
        <w:t>Nominal, Barometer Riset Akuntansi dan Manajemen,</w:t>
      </w:r>
      <w:r w:rsidRPr="000B5866">
        <w:t xml:space="preserve"> 1(2), 22-34.</w:t>
      </w:r>
    </w:p>
    <w:p w:rsidR="00243C66" w:rsidRPr="000B5866" w:rsidRDefault="00E90A84" w:rsidP="00243C66">
      <w:pPr>
        <w:pStyle w:val="Ventura-Formula"/>
        <w:ind w:left="709" w:hanging="709"/>
        <w:rPr>
          <w:lang w:val="id-ID"/>
        </w:rPr>
      </w:pPr>
      <w:r w:rsidRPr="000B5866">
        <w:t xml:space="preserve">OECD. (2020). Coronavirus (COVID-19): SME policy responses. </w:t>
      </w:r>
      <w:hyperlink r:id="rId18" w:history="1">
        <w:r w:rsidRPr="000B5866">
          <w:rPr>
            <w:rStyle w:val="Hyperlink"/>
          </w:rPr>
          <w:t>https://read.oecd-ilibrary.org/view/?ref=119_119680-di6h3qgi4x&amp;title=COVID-19_SME_Policy_Responses</w:t>
        </w:r>
      </w:hyperlink>
      <w:r w:rsidRPr="000B5866">
        <w:t>.</w:t>
      </w:r>
    </w:p>
    <w:p w:rsidR="00243C66" w:rsidRPr="000B5866" w:rsidRDefault="00E90A84" w:rsidP="00243C66">
      <w:pPr>
        <w:pStyle w:val="Ventura-Formula"/>
        <w:ind w:left="709" w:hanging="709"/>
      </w:pPr>
      <w:r w:rsidRPr="000B5866">
        <w:t xml:space="preserve">Proença, P., Laureano, R. M., &amp; Laureano, L. M. (2014). Determinants of capital structure and the 2008 financial crisis: evidence from Portuguese SMEs. </w:t>
      </w:r>
      <w:r w:rsidRPr="000B5866">
        <w:rPr>
          <w:i/>
          <w:iCs/>
        </w:rPr>
        <w:t>Procedia-Social and Behavioral Sciences</w:t>
      </w:r>
      <w:r w:rsidRPr="000B5866">
        <w:t xml:space="preserve">, </w:t>
      </w:r>
      <w:r w:rsidRPr="000B5866">
        <w:rPr>
          <w:i/>
          <w:iCs/>
        </w:rPr>
        <w:t>150</w:t>
      </w:r>
      <w:r w:rsidRPr="000B5866">
        <w:t>(1), 182-191.</w:t>
      </w:r>
    </w:p>
    <w:p w:rsidR="00243C66" w:rsidRPr="000B5866" w:rsidRDefault="00E90A84" w:rsidP="00243C66">
      <w:pPr>
        <w:pStyle w:val="Ventura-Formula"/>
        <w:ind w:left="709" w:hanging="709"/>
        <w:rPr>
          <w:lang w:val="id-ID"/>
        </w:rPr>
      </w:pPr>
      <w:r w:rsidRPr="000B5866">
        <w:t xml:space="preserve">Ramadhani, A. S. &amp; Lukviarman, N. (2009). Perbandingan analisis prediksi kebangkrutan menggunakan model Altman pertama, Altman revisi, dan Altman modifikasi dengan ukuran dan umur perusahaan sebagai variabel penjelas (Studi pada perusahaan manufaktur yang terdaftar di Bursa Efek Indonesia). </w:t>
      </w:r>
      <w:r w:rsidRPr="000B5866">
        <w:rPr>
          <w:i/>
        </w:rPr>
        <w:t>Jurnal Siasat Bisnis,</w:t>
      </w:r>
      <w:r w:rsidRPr="000B5866">
        <w:t xml:space="preserve"> 13(1), 15–28.</w:t>
      </w:r>
    </w:p>
    <w:p w:rsidR="00243C66" w:rsidRPr="000B5866" w:rsidRDefault="00E90A84" w:rsidP="00243C66">
      <w:pPr>
        <w:pStyle w:val="Ventura-Formula"/>
        <w:ind w:left="709" w:hanging="709"/>
        <w:rPr>
          <w:lang w:val="id-ID"/>
        </w:rPr>
      </w:pPr>
      <w:r w:rsidRPr="000B5866">
        <w:t xml:space="preserve">Rhamadana, R. B. &amp; Triyonowati (2016). Analisis rasio keuangan untuk menilain kinerja keuangan pada PT. H. M. Sampoerna Tbk. </w:t>
      </w:r>
      <w:r w:rsidRPr="000B5866">
        <w:rPr>
          <w:i/>
        </w:rPr>
        <w:t>Jurnal Imu dan Riset Manajemen,</w:t>
      </w:r>
      <w:r w:rsidRPr="000B5866">
        <w:t xml:space="preserve"> 5(7), 1–18.</w:t>
      </w:r>
    </w:p>
    <w:p w:rsidR="00243C66" w:rsidRPr="000B5866" w:rsidRDefault="00E90A84" w:rsidP="00243C66">
      <w:pPr>
        <w:pStyle w:val="Ventura-Formula"/>
        <w:ind w:left="709" w:hanging="709"/>
        <w:rPr>
          <w:lang w:val="id-ID"/>
        </w:rPr>
      </w:pPr>
      <w:r w:rsidRPr="000B5866">
        <w:t xml:space="preserve">Ridha, M. A. &amp; Basuki, H. (2012). Pengaruh tekanan eksternal, ketidakpastian lingkungan, dan komitmen manajemen terhadap penerapan transparansi pelaporan keuangan. </w:t>
      </w:r>
      <w:r w:rsidRPr="000B5866">
        <w:rPr>
          <w:i/>
        </w:rPr>
        <w:t>SNA Akuntansi 15 Banjarmasin</w:t>
      </w:r>
      <w:r w:rsidRPr="000B5866">
        <w:t>, 87.</w:t>
      </w:r>
    </w:p>
    <w:p w:rsidR="00243C66" w:rsidRPr="000B5866" w:rsidRDefault="00E90A84" w:rsidP="00243C66">
      <w:pPr>
        <w:pStyle w:val="Ventura-Formula"/>
        <w:ind w:left="709" w:hanging="709"/>
        <w:rPr>
          <w:lang w:val="id-ID"/>
        </w:rPr>
      </w:pPr>
      <w:r w:rsidRPr="000B5866">
        <w:t xml:space="preserve">Rofiqoh, I. (2001). Pengaruh krisis moneter terhadap kinerja perusahaan publik di Bursa Efek Jakarta. </w:t>
      </w:r>
      <w:r w:rsidRPr="000B5866">
        <w:rPr>
          <w:i/>
        </w:rPr>
        <w:t>Jurnal Akuntansi dan Investas,i</w:t>
      </w:r>
      <w:r w:rsidRPr="000B5866">
        <w:t xml:space="preserve"> 2(2), 87–104.</w:t>
      </w:r>
    </w:p>
    <w:p w:rsidR="00243C66" w:rsidRPr="000B5866" w:rsidRDefault="00E90A84" w:rsidP="00243C66">
      <w:pPr>
        <w:pStyle w:val="Ventura-Formula"/>
        <w:ind w:left="709" w:hanging="709"/>
        <w:rPr>
          <w:lang w:val="id-ID"/>
        </w:rPr>
      </w:pPr>
      <w:r w:rsidRPr="000B5866">
        <w:t>Rusdin (2008). Pasar modal (Teori, masalah dan kebijakan dalam praktik). Bandung: Alfabeta.</w:t>
      </w:r>
    </w:p>
    <w:p w:rsidR="00243C66" w:rsidRPr="000B5866" w:rsidRDefault="00E90A84" w:rsidP="00243C66">
      <w:pPr>
        <w:pStyle w:val="Ventura-Formula"/>
        <w:ind w:left="709" w:hanging="709"/>
        <w:rPr>
          <w:lang w:val="id-ID"/>
        </w:rPr>
      </w:pPr>
      <w:r w:rsidRPr="000B5866">
        <w:t xml:space="preserve">Sajiyah, I. (2016). Pengaruh current ratio, debt to equity ratio dan return on investment terhadap harga saham perusahaan food and baverages. </w:t>
      </w:r>
      <w:r w:rsidRPr="000B5866">
        <w:rPr>
          <w:i/>
        </w:rPr>
        <w:t>Akademika</w:t>
      </w:r>
      <w:r w:rsidRPr="000B5866">
        <w:t>, 14(1), 32–39.</w:t>
      </w:r>
    </w:p>
    <w:p w:rsidR="00243C66" w:rsidRPr="000B5866" w:rsidRDefault="00E90A84" w:rsidP="00243C66">
      <w:pPr>
        <w:pStyle w:val="Ventura-Formula"/>
        <w:ind w:left="709" w:hanging="709"/>
        <w:rPr>
          <w:lang w:val="id-ID"/>
        </w:rPr>
      </w:pPr>
      <w:r w:rsidRPr="000B5866">
        <w:t xml:space="preserve">Sari, D. I. (2020). Pengaruh current ratio dan debt to equity ratio terhadap return. </w:t>
      </w:r>
      <w:r w:rsidRPr="000B5866">
        <w:rPr>
          <w:i/>
        </w:rPr>
        <w:t>Jurnal Riset Akuntansi dan Keuangan Dewantaram,</w:t>
      </w:r>
      <w:r w:rsidRPr="000B5866">
        <w:t xml:space="preserve"> 4(1), 66–77.</w:t>
      </w:r>
    </w:p>
    <w:p w:rsidR="00243C66" w:rsidRPr="000B5866" w:rsidRDefault="00E90A84" w:rsidP="00243C66">
      <w:pPr>
        <w:pStyle w:val="Ventura-Formula"/>
        <w:ind w:left="709" w:hanging="709"/>
        <w:rPr>
          <w:lang w:val="id-ID"/>
        </w:rPr>
      </w:pPr>
      <w:r w:rsidRPr="000B5866">
        <w:t xml:space="preserve">Shen, H., Fu, M., Pan, H., Yu, Z., &amp; Chen, Y. (2020). The impact of the COVID-19 pandemic on firm performance. </w:t>
      </w:r>
      <w:r w:rsidRPr="000B5866">
        <w:rPr>
          <w:i/>
        </w:rPr>
        <w:t>Emerging Markets Finance and Trade</w:t>
      </w:r>
      <w:r w:rsidRPr="000B5866">
        <w:t>, 56(10), 2213-2230.</w:t>
      </w:r>
    </w:p>
    <w:p w:rsidR="00243C66" w:rsidRPr="000B5866" w:rsidRDefault="00E90A84" w:rsidP="00243C66">
      <w:pPr>
        <w:pStyle w:val="Ventura-Formula"/>
        <w:ind w:left="709" w:hanging="709"/>
        <w:rPr>
          <w:lang w:val="id-ID"/>
        </w:rPr>
      </w:pPr>
      <w:r w:rsidRPr="000B5866">
        <w:t>Subramanyam, K. R. (2014). Financial statement analysis. McGraw Hill Education.</w:t>
      </w:r>
    </w:p>
    <w:p w:rsidR="00243C66" w:rsidRPr="000B5866" w:rsidRDefault="00E90A84" w:rsidP="00243C66">
      <w:pPr>
        <w:pStyle w:val="Ventura-Formula"/>
        <w:ind w:left="709" w:hanging="709"/>
      </w:pPr>
      <w:r w:rsidRPr="000B5866">
        <w:lastRenderedPageBreak/>
        <w:t xml:space="preserve">Sukma, A. (2018). Perspektif the resource based view (RBV) dalam membangun competitive advantage. </w:t>
      </w:r>
      <w:r w:rsidRPr="000B5866">
        <w:rPr>
          <w:i/>
          <w:iCs/>
        </w:rPr>
        <w:t>Ad Deenar: Jurnal Ekonomi dan Bisnis Islam</w:t>
      </w:r>
      <w:r w:rsidRPr="000B5866">
        <w:t xml:space="preserve">, </w:t>
      </w:r>
      <w:r w:rsidRPr="000B5866">
        <w:rPr>
          <w:i/>
          <w:iCs/>
        </w:rPr>
        <w:t>1</w:t>
      </w:r>
      <w:r w:rsidRPr="000B5866">
        <w:t>(01), 75-89.</w:t>
      </w:r>
    </w:p>
    <w:p w:rsidR="00243C66" w:rsidRPr="000B5866" w:rsidRDefault="00E90A84" w:rsidP="00243C66">
      <w:pPr>
        <w:pStyle w:val="Ventura-Formula"/>
        <w:ind w:left="709" w:hanging="709"/>
        <w:rPr>
          <w:lang w:val="id-ID"/>
        </w:rPr>
      </w:pPr>
      <w:r w:rsidRPr="000B5866">
        <w:t xml:space="preserve">Sun, Y., Yang, Y., Huang, N., &amp; Zou, X. (2020). The impacts of climate change risks on financial performance of mining industry: Evidence from listed companies in China. </w:t>
      </w:r>
      <w:r w:rsidRPr="000B5866">
        <w:rPr>
          <w:i/>
        </w:rPr>
        <w:t>Resources Policy</w:t>
      </w:r>
      <w:r w:rsidRPr="000B5866">
        <w:t>, 69, 101828.</w:t>
      </w:r>
    </w:p>
    <w:p w:rsidR="00243C66" w:rsidRPr="000B5866" w:rsidRDefault="00E90A84" w:rsidP="00243C66">
      <w:pPr>
        <w:pStyle w:val="Ventura-Formula"/>
        <w:ind w:left="709" w:hanging="709"/>
        <w:rPr>
          <w:lang w:val="id-ID"/>
        </w:rPr>
      </w:pPr>
      <w:r w:rsidRPr="000B5866">
        <w:t xml:space="preserve">Syafirah (2019). Analisis profitabilitas PT. Bank Bri Syariah Periode 2009-2018 (dilihat dari pengaruh financing to deposit ratio dan non performing financing terhadap return on asset). </w:t>
      </w:r>
      <w:r w:rsidRPr="000B5866">
        <w:rPr>
          <w:i/>
        </w:rPr>
        <w:t>Eksisbank,</w:t>
      </w:r>
      <w:r w:rsidRPr="000B5866">
        <w:t xml:space="preserve"> 3(1), 169–80.</w:t>
      </w:r>
    </w:p>
    <w:p w:rsidR="00243C66" w:rsidRPr="000B5866" w:rsidRDefault="00E90A84" w:rsidP="00243C66">
      <w:pPr>
        <w:pStyle w:val="Ventura-Formula"/>
        <w:ind w:left="709" w:hanging="709"/>
        <w:rPr>
          <w:lang w:val="id-ID"/>
        </w:rPr>
      </w:pPr>
      <w:r w:rsidRPr="000B5866">
        <w:t xml:space="preserve">Unger, O., Szczesny, A., &amp; Holderried, M. (2020). Does performance pay increase productivity? Evidence from a medical typing unit. </w:t>
      </w:r>
      <w:r w:rsidRPr="000B5866">
        <w:rPr>
          <w:i/>
        </w:rPr>
        <w:t>Management Accounting Research</w:t>
      </w:r>
      <w:r w:rsidRPr="000B5866">
        <w:t>, 47, 100649.</w:t>
      </w:r>
    </w:p>
    <w:p w:rsidR="00243C66" w:rsidRPr="000B5866" w:rsidRDefault="00E90A84" w:rsidP="00243C66">
      <w:pPr>
        <w:pStyle w:val="Ventura-Formula"/>
        <w:ind w:left="709" w:hanging="709"/>
        <w:rPr>
          <w:lang w:val="id-ID"/>
        </w:rPr>
      </w:pPr>
      <w:r w:rsidRPr="000B5866">
        <w:t>Wijayangka, C. (2014). Analisis kinerja keuangan perusahaan sektor manufaktur akibat krisis keuangan amerika</w:t>
      </w:r>
      <w:r w:rsidRPr="000B5866">
        <w:rPr>
          <w:i/>
        </w:rPr>
        <w:t>. Jurnal Manajemen Indonesia,</w:t>
      </w:r>
      <w:r w:rsidRPr="000B5866">
        <w:t xml:space="preserve"> 14(2), 172–80.</w:t>
      </w:r>
    </w:p>
    <w:p w:rsidR="002A42E0" w:rsidRPr="00256EEC" w:rsidRDefault="00E90A84" w:rsidP="00243C66">
      <w:pPr>
        <w:pStyle w:val="Ventura-Formula"/>
        <w:rPr>
          <w:b/>
        </w:rPr>
      </w:pPr>
      <w:r w:rsidRPr="000B5866">
        <w:t xml:space="preserve">Yudanto, N. dan Santoso, M. S. (2003). Dampak krisis moneter terhadap sektor riil. </w:t>
      </w:r>
      <w:r w:rsidRPr="000B5866">
        <w:rPr>
          <w:i/>
        </w:rPr>
        <w:t>Buletin Ekonomi Moneter dan Perbankan</w:t>
      </w:r>
      <w:r w:rsidRPr="000B5866">
        <w:t>, 1(2), 131–158.</w:t>
      </w:r>
    </w:p>
    <w:sectPr w:rsidR="002A42E0" w:rsidRPr="00256EEC" w:rsidSect="00982C26">
      <w:headerReference w:type="even" r:id="rId19"/>
      <w:type w:val="continuous"/>
      <w:pgSz w:w="11907" w:h="16840" w:code="9"/>
      <w:pgMar w:top="1701" w:right="1247" w:bottom="1531" w:left="1134" w:header="1021"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2A9" w:rsidRDefault="00F042A9">
      <w:r>
        <w:separator/>
      </w:r>
    </w:p>
  </w:endnote>
  <w:endnote w:type="continuationSeparator" w:id="0">
    <w:p w:rsidR="00F042A9" w:rsidRDefault="00F0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B3" w:rsidRPr="00292DA8" w:rsidRDefault="00E90A84" w:rsidP="00F155A9">
    <w:pPr>
      <w:pStyle w:val="Footer"/>
      <w:rPr>
        <w:sz w:val="20"/>
        <w:szCs w:val="20"/>
      </w:rPr>
    </w:pPr>
    <w:r w:rsidRPr="00292DA8">
      <w:rPr>
        <w:rStyle w:val="PageNumber"/>
        <w:sz w:val="20"/>
        <w:szCs w:val="20"/>
      </w:rPr>
      <w:fldChar w:fldCharType="begin"/>
    </w:r>
    <w:r w:rsidRPr="00292DA8">
      <w:rPr>
        <w:rStyle w:val="PageNumber"/>
        <w:sz w:val="20"/>
        <w:szCs w:val="20"/>
      </w:rPr>
      <w:instrText xml:space="preserve"> PAGE </w:instrText>
    </w:r>
    <w:r w:rsidRPr="00292DA8">
      <w:rPr>
        <w:rStyle w:val="PageNumber"/>
        <w:sz w:val="20"/>
        <w:szCs w:val="20"/>
      </w:rPr>
      <w:fldChar w:fldCharType="separate"/>
    </w:r>
    <w:r w:rsidR="00A870D7">
      <w:rPr>
        <w:rStyle w:val="PageNumber"/>
        <w:noProof/>
        <w:sz w:val="20"/>
        <w:szCs w:val="20"/>
      </w:rPr>
      <w:t>16</w:t>
    </w:r>
    <w:r w:rsidRPr="00292DA8">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B3" w:rsidRPr="00292DA8" w:rsidRDefault="00E90A84" w:rsidP="00F155A9">
    <w:pPr>
      <w:pStyle w:val="Footer"/>
      <w:rPr>
        <w:sz w:val="20"/>
        <w:szCs w:val="20"/>
      </w:rPr>
    </w:pPr>
    <w:r w:rsidRPr="00292DA8">
      <w:rPr>
        <w:rStyle w:val="PageNumber"/>
        <w:sz w:val="20"/>
        <w:szCs w:val="20"/>
      </w:rPr>
      <w:fldChar w:fldCharType="begin"/>
    </w:r>
    <w:r w:rsidRPr="00292DA8">
      <w:rPr>
        <w:rStyle w:val="PageNumber"/>
        <w:sz w:val="20"/>
        <w:szCs w:val="20"/>
      </w:rPr>
      <w:instrText xml:space="preserve"> PAGE </w:instrText>
    </w:r>
    <w:r w:rsidRPr="00292DA8">
      <w:rPr>
        <w:rStyle w:val="PageNumber"/>
        <w:sz w:val="20"/>
        <w:szCs w:val="20"/>
      </w:rPr>
      <w:fldChar w:fldCharType="separate"/>
    </w:r>
    <w:r w:rsidR="00A870D7">
      <w:rPr>
        <w:rStyle w:val="PageNumber"/>
        <w:noProof/>
        <w:sz w:val="20"/>
        <w:szCs w:val="20"/>
      </w:rPr>
      <w:t>17</w:t>
    </w:r>
    <w:r w:rsidRPr="00292DA8">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B3" w:rsidRPr="00EE20D8" w:rsidRDefault="00E90A84" w:rsidP="00F155A9">
    <w:pPr>
      <w:pStyle w:val="Footer"/>
    </w:pPr>
    <w:r w:rsidRPr="00EE20D8">
      <w:rPr>
        <w:rStyle w:val="PageNumber"/>
        <w:szCs w:val="22"/>
      </w:rPr>
      <w:fldChar w:fldCharType="begin"/>
    </w:r>
    <w:r w:rsidRPr="00EE20D8">
      <w:rPr>
        <w:rStyle w:val="PageNumber"/>
        <w:szCs w:val="22"/>
      </w:rPr>
      <w:instrText xml:space="preserve"> PAGE </w:instrText>
    </w:r>
    <w:r w:rsidRPr="00EE20D8">
      <w:rPr>
        <w:rStyle w:val="PageNumber"/>
        <w:szCs w:val="22"/>
      </w:rPr>
      <w:fldChar w:fldCharType="separate"/>
    </w:r>
    <w:r>
      <w:rPr>
        <w:rStyle w:val="PageNumber"/>
        <w:noProof/>
        <w:szCs w:val="22"/>
      </w:rPr>
      <w:t>2</w:t>
    </w:r>
    <w:r w:rsidRPr="00EE20D8">
      <w:rPr>
        <w:rStyle w:val="PageNumber"/>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2A9" w:rsidRDefault="00F042A9">
      <w:r>
        <w:separator/>
      </w:r>
    </w:p>
  </w:footnote>
  <w:footnote w:type="continuationSeparator" w:id="0">
    <w:p w:rsidR="00F042A9" w:rsidRDefault="00F04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B3" w:rsidRPr="00EB2CEB" w:rsidRDefault="00E90A84" w:rsidP="003A40F4">
    <w:pPr>
      <w:pStyle w:val="Header"/>
      <w:tabs>
        <w:tab w:val="clear" w:pos="8789"/>
        <w:tab w:val="right" w:pos="9526"/>
      </w:tabs>
      <w:ind w:left="11520" w:hanging="11520"/>
      <w:jc w:val="right"/>
      <w:rPr>
        <w:sz w:val="18"/>
        <w:szCs w:val="18"/>
      </w:rPr>
    </w:pPr>
    <w:r>
      <w:rPr>
        <w:sz w:val="18"/>
        <w:szCs w:val="18"/>
      </w:rPr>
      <w:t>Author 1:</w:t>
    </w:r>
    <w:r w:rsidRPr="00D23355">
      <w:rPr>
        <w:sz w:val="18"/>
        <w:szCs w:val="18"/>
      </w:rPr>
      <w:t xml:space="preserve"> </w:t>
    </w:r>
    <w:r w:rsidRPr="003A40F4">
      <w:rPr>
        <w:sz w:val="18"/>
        <w:szCs w:val="18"/>
      </w:rPr>
      <w:t>It should reflect</w:t>
    </w:r>
    <w:r w:rsidRPr="00AE6D45">
      <w:rPr>
        <w:sz w:val="18"/>
        <w:szCs w:val="18"/>
      </w:rPr>
      <w:t xml:space="preserve"> </w:t>
    </w:r>
    <w:r w:rsidRPr="00EB2CEB">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B3" w:rsidRPr="00C72E83" w:rsidRDefault="00E90A84" w:rsidP="000B0B83">
    <w:pPr>
      <w:pStyle w:val="Header"/>
      <w:tabs>
        <w:tab w:val="clear" w:pos="8789"/>
        <w:tab w:val="right" w:pos="9526"/>
      </w:tabs>
      <w:jc w:val="center"/>
      <w:rPr>
        <w:i/>
        <w:iCs/>
        <w:sz w:val="18"/>
        <w:szCs w:val="18"/>
        <w:lang w:val="id-ID"/>
      </w:rPr>
    </w:pPr>
    <w:r w:rsidRPr="00BD53F9">
      <w:rPr>
        <w:i/>
        <w:iCs/>
        <w:sz w:val="18"/>
        <w:szCs w:val="18"/>
      </w:rPr>
      <w:t>Journal of Economics, Business, and Accountancy Ventura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B3" w:rsidRDefault="00E90A84" w:rsidP="00F155A9">
    <w:pPr>
      <w:pStyle w:val="Header"/>
    </w:pPr>
    <w:r w:rsidRPr="004201DD">
      <w:t>ISSN 208</w:t>
    </w:r>
    <w:r>
      <w:t>7-3735</w:t>
    </w:r>
    <w:r>
      <w:tab/>
      <w:t>Macroeconomic a</w:t>
    </w:r>
    <w:r w:rsidRPr="00AD018C">
      <w:t>nd Bank-Specific</w:t>
    </w:r>
    <w:r w:rsidRPr="00873F1F">
      <w:t xml:space="preserve"> </w:t>
    </w:r>
    <w:r>
      <w:t>… (</w:t>
    </w:r>
    <w:r w:rsidRPr="00AD018C">
      <w:t>Suhartono</w:t>
    </w: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B3" w:rsidRDefault="00D943B3" w:rsidP="00F155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4830_"/>
      </v:shape>
    </w:pict>
  </w:numPicBullet>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nsid w:val="00BF4A0D"/>
    <w:multiLevelType w:val="hybridMultilevel"/>
    <w:tmpl w:val="6A026CCE"/>
    <w:lvl w:ilvl="0" w:tplc="020A9B76">
      <w:start w:val="1"/>
      <w:numFmt w:val="decimal"/>
      <w:lvlText w:val="%1."/>
      <w:lvlJc w:val="left"/>
      <w:pPr>
        <w:ind w:left="757" w:hanging="360"/>
      </w:pPr>
      <w:rPr>
        <w:rFonts w:hint="default"/>
        <w:b w:val="0"/>
        <w:bCs w:val="0"/>
      </w:rPr>
    </w:lvl>
    <w:lvl w:ilvl="1" w:tplc="92BEF92E" w:tentative="1">
      <w:start w:val="1"/>
      <w:numFmt w:val="lowerLetter"/>
      <w:lvlText w:val="%2."/>
      <w:lvlJc w:val="left"/>
      <w:pPr>
        <w:ind w:left="1477" w:hanging="360"/>
      </w:pPr>
    </w:lvl>
    <w:lvl w:ilvl="2" w:tplc="06240D7C" w:tentative="1">
      <w:start w:val="1"/>
      <w:numFmt w:val="lowerRoman"/>
      <w:lvlText w:val="%3."/>
      <w:lvlJc w:val="right"/>
      <w:pPr>
        <w:ind w:left="2197" w:hanging="180"/>
      </w:pPr>
    </w:lvl>
    <w:lvl w:ilvl="3" w:tplc="B62074FE" w:tentative="1">
      <w:start w:val="1"/>
      <w:numFmt w:val="decimal"/>
      <w:lvlText w:val="%4."/>
      <w:lvlJc w:val="left"/>
      <w:pPr>
        <w:ind w:left="2917" w:hanging="360"/>
      </w:pPr>
    </w:lvl>
    <w:lvl w:ilvl="4" w:tplc="C7C67ADA" w:tentative="1">
      <w:start w:val="1"/>
      <w:numFmt w:val="lowerLetter"/>
      <w:lvlText w:val="%5."/>
      <w:lvlJc w:val="left"/>
      <w:pPr>
        <w:ind w:left="3637" w:hanging="360"/>
      </w:pPr>
    </w:lvl>
    <w:lvl w:ilvl="5" w:tplc="606C7216" w:tentative="1">
      <w:start w:val="1"/>
      <w:numFmt w:val="lowerRoman"/>
      <w:lvlText w:val="%6."/>
      <w:lvlJc w:val="right"/>
      <w:pPr>
        <w:ind w:left="4357" w:hanging="180"/>
      </w:pPr>
    </w:lvl>
    <w:lvl w:ilvl="6" w:tplc="395CEDF0" w:tentative="1">
      <w:start w:val="1"/>
      <w:numFmt w:val="decimal"/>
      <w:lvlText w:val="%7."/>
      <w:lvlJc w:val="left"/>
      <w:pPr>
        <w:ind w:left="5077" w:hanging="360"/>
      </w:pPr>
    </w:lvl>
    <w:lvl w:ilvl="7" w:tplc="CAD03060" w:tentative="1">
      <w:start w:val="1"/>
      <w:numFmt w:val="lowerLetter"/>
      <w:lvlText w:val="%8."/>
      <w:lvlJc w:val="left"/>
      <w:pPr>
        <w:ind w:left="5797" w:hanging="360"/>
      </w:pPr>
    </w:lvl>
    <w:lvl w:ilvl="8" w:tplc="2486868A" w:tentative="1">
      <w:start w:val="1"/>
      <w:numFmt w:val="lowerRoman"/>
      <w:lvlText w:val="%9."/>
      <w:lvlJc w:val="right"/>
      <w:pPr>
        <w:ind w:left="6517" w:hanging="180"/>
      </w:pPr>
    </w:lvl>
  </w:abstractNum>
  <w:abstractNum w:abstractNumId="3">
    <w:nsid w:val="027854E3"/>
    <w:multiLevelType w:val="hybridMultilevel"/>
    <w:tmpl w:val="EF041F4E"/>
    <w:lvl w:ilvl="0" w:tplc="EABCD714">
      <w:start w:val="1"/>
      <w:numFmt w:val="decimal"/>
      <w:lvlText w:val="%1)"/>
      <w:lvlJc w:val="left"/>
      <w:pPr>
        <w:ind w:left="720" w:hanging="360"/>
      </w:pPr>
      <w:rPr>
        <w:rFonts w:hint="default"/>
      </w:rPr>
    </w:lvl>
    <w:lvl w:ilvl="1" w:tplc="D92CE826" w:tentative="1">
      <w:start w:val="1"/>
      <w:numFmt w:val="lowerLetter"/>
      <w:lvlText w:val="%2."/>
      <w:lvlJc w:val="left"/>
      <w:pPr>
        <w:ind w:left="1440" w:hanging="360"/>
      </w:pPr>
    </w:lvl>
    <w:lvl w:ilvl="2" w:tplc="C21637A2" w:tentative="1">
      <w:start w:val="1"/>
      <w:numFmt w:val="lowerRoman"/>
      <w:lvlText w:val="%3."/>
      <w:lvlJc w:val="right"/>
      <w:pPr>
        <w:ind w:left="2160" w:hanging="180"/>
      </w:pPr>
    </w:lvl>
    <w:lvl w:ilvl="3" w:tplc="BEF0A2F4" w:tentative="1">
      <w:start w:val="1"/>
      <w:numFmt w:val="decimal"/>
      <w:lvlText w:val="%4."/>
      <w:lvlJc w:val="left"/>
      <w:pPr>
        <w:ind w:left="2880" w:hanging="360"/>
      </w:pPr>
    </w:lvl>
    <w:lvl w:ilvl="4" w:tplc="1A241EE4" w:tentative="1">
      <w:start w:val="1"/>
      <w:numFmt w:val="lowerLetter"/>
      <w:lvlText w:val="%5."/>
      <w:lvlJc w:val="left"/>
      <w:pPr>
        <w:ind w:left="3600" w:hanging="360"/>
      </w:pPr>
    </w:lvl>
    <w:lvl w:ilvl="5" w:tplc="74D2F8AC" w:tentative="1">
      <w:start w:val="1"/>
      <w:numFmt w:val="lowerRoman"/>
      <w:lvlText w:val="%6."/>
      <w:lvlJc w:val="right"/>
      <w:pPr>
        <w:ind w:left="4320" w:hanging="180"/>
      </w:pPr>
    </w:lvl>
    <w:lvl w:ilvl="6" w:tplc="91A4BD74" w:tentative="1">
      <w:start w:val="1"/>
      <w:numFmt w:val="decimal"/>
      <w:lvlText w:val="%7."/>
      <w:lvlJc w:val="left"/>
      <w:pPr>
        <w:ind w:left="5040" w:hanging="360"/>
      </w:pPr>
    </w:lvl>
    <w:lvl w:ilvl="7" w:tplc="98A44348" w:tentative="1">
      <w:start w:val="1"/>
      <w:numFmt w:val="lowerLetter"/>
      <w:lvlText w:val="%8."/>
      <w:lvlJc w:val="left"/>
      <w:pPr>
        <w:ind w:left="5760" w:hanging="360"/>
      </w:pPr>
    </w:lvl>
    <w:lvl w:ilvl="8" w:tplc="A7FE5A02" w:tentative="1">
      <w:start w:val="1"/>
      <w:numFmt w:val="lowerRoman"/>
      <w:lvlText w:val="%9."/>
      <w:lvlJc w:val="right"/>
      <w:pPr>
        <w:ind w:left="6480" w:hanging="180"/>
      </w:pPr>
    </w:lvl>
  </w:abstractNum>
  <w:abstractNum w:abstractNumId="4">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137067"/>
    <w:multiLevelType w:val="hybridMultilevel"/>
    <w:tmpl w:val="CDC0C55E"/>
    <w:lvl w:ilvl="0" w:tplc="AE8835D0">
      <w:start w:val="1"/>
      <w:numFmt w:val="decimal"/>
      <w:lvlText w:val="%1."/>
      <w:lvlJc w:val="left"/>
      <w:pPr>
        <w:ind w:left="675" w:hanging="675"/>
      </w:pPr>
      <w:rPr>
        <w:rFonts w:hint="default"/>
      </w:rPr>
    </w:lvl>
    <w:lvl w:ilvl="1" w:tplc="F62EE9A0" w:tentative="1">
      <w:start w:val="1"/>
      <w:numFmt w:val="lowerLetter"/>
      <w:lvlText w:val="%2."/>
      <w:lvlJc w:val="left"/>
      <w:pPr>
        <w:ind w:left="1440" w:hanging="360"/>
      </w:pPr>
    </w:lvl>
    <w:lvl w:ilvl="2" w:tplc="39BC2906" w:tentative="1">
      <w:start w:val="1"/>
      <w:numFmt w:val="lowerRoman"/>
      <w:lvlText w:val="%3."/>
      <w:lvlJc w:val="right"/>
      <w:pPr>
        <w:ind w:left="2160" w:hanging="180"/>
      </w:pPr>
    </w:lvl>
    <w:lvl w:ilvl="3" w:tplc="50D21C9A" w:tentative="1">
      <w:start w:val="1"/>
      <w:numFmt w:val="decimal"/>
      <w:lvlText w:val="%4."/>
      <w:lvlJc w:val="left"/>
      <w:pPr>
        <w:ind w:left="2880" w:hanging="360"/>
      </w:pPr>
    </w:lvl>
    <w:lvl w:ilvl="4" w:tplc="C38A0F04" w:tentative="1">
      <w:start w:val="1"/>
      <w:numFmt w:val="lowerLetter"/>
      <w:lvlText w:val="%5."/>
      <w:lvlJc w:val="left"/>
      <w:pPr>
        <w:ind w:left="3600" w:hanging="360"/>
      </w:pPr>
    </w:lvl>
    <w:lvl w:ilvl="5" w:tplc="5254B7EC" w:tentative="1">
      <w:start w:val="1"/>
      <w:numFmt w:val="lowerRoman"/>
      <w:lvlText w:val="%6."/>
      <w:lvlJc w:val="right"/>
      <w:pPr>
        <w:ind w:left="4320" w:hanging="180"/>
      </w:pPr>
    </w:lvl>
    <w:lvl w:ilvl="6" w:tplc="7E62E048" w:tentative="1">
      <w:start w:val="1"/>
      <w:numFmt w:val="decimal"/>
      <w:lvlText w:val="%7."/>
      <w:lvlJc w:val="left"/>
      <w:pPr>
        <w:ind w:left="5040" w:hanging="360"/>
      </w:pPr>
    </w:lvl>
    <w:lvl w:ilvl="7" w:tplc="E9DEAB44" w:tentative="1">
      <w:start w:val="1"/>
      <w:numFmt w:val="lowerLetter"/>
      <w:lvlText w:val="%8."/>
      <w:lvlJc w:val="left"/>
      <w:pPr>
        <w:ind w:left="5760" w:hanging="360"/>
      </w:pPr>
    </w:lvl>
    <w:lvl w:ilvl="8" w:tplc="05C012B4" w:tentative="1">
      <w:start w:val="1"/>
      <w:numFmt w:val="lowerRoman"/>
      <w:lvlText w:val="%9."/>
      <w:lvlJc w:val="right"/>
      <w:pPr>
        <w:ind w:left="6480" w:hanging="180"/>
      </w:pPr>
    </w:lvl>
  </w:abstractNum>
  <w:abstractNum w:abstractNumId="6">
    <w:nsid w:val="14687DE2"/>
    <w:multiLevelType w:val="hybridMultilevel"/>
    <w:tmpl w:val="3EC0B00C"/>
    <w:lvl w:ilvl="0" w:tplc="2706593A">
      <w:start w:val="1"/>
      <w:numFmt w:val="bullet"/>
      <w:lvlText w:val=""/>
      <w:lvlPicBulletId w:val="0"/>
      <w:lvlJc w:val="left"/>
      <w:pPr>
        <w:ind w:left="2160" w:hanging="360"/>
      </w:pPr>
      <w:rPr>
        <w:rFonts w:ascii="Symbol" w:hAnsi="Symbol" w:hint="default"/>
        <w:color w:val="auto"/>
      </w:rPr>
    </w:lvl>
    <w:lvl w:ilvl="1" w:tplc="5E44F51A" w:tentative="1">
      <w:start w:val="1"/>
      <w:numFmt w:val="bullet"/>
      <w:lvlText w:val="o"/>
      <w:lvlJc w:val="left"/>
      <w:pPr>
        <w:ind w:left="2880" w:hanging="360"/>
      </w:pPr>
      <w:rPr>
        <w:rFonts w:ascii="Courier New" w:hAnsi="Courier New" w:cs="Courier New" w:hint="default"/>
      </w:rPr>
    </w:lvl>
    <w:lvl w:ilvl="2" w:tplc="7E342728" w:tentative="1">
      <w:start w:val="1"/>
      <w:numFmt w:val="bullet"/>
      <w:lvlText w:val=""/>
      <w:lvlJc w:val="left"/>
      <w:pPr>
        <w:ind w:left="3600" w:hanging="360"/>
      </w:pPr>
      <w:rPr>
        <w:rFonts w:ascii="Wingdings" w:hAnsi="Wingdings" w:hint="default"/>
      </w:rPr>
    </w:lvl>
    <w:lvl w:ilvl="3" w:tplc="86A27488" w:tentative="1">
      <w:start w:val="1"/>
      <w:numFmt w:val="bullet"/>
      <w:lvlText w:val=""/>
      <w:lvlJc w:val="left"/>
      <w:pPr>
        <w:ind w:left="4320" w:hanging="360"/>
      </w:pPr>
      <w:rPr>
        <w:rFonts w:ascii="Symbol" w:hAnsi="Symbol" w:hint="default"/>
      </w:rPr>
    </w:lvl>
    <w:lvl w:ilvl="4" w:tplc="01A0CF52" w:tentative="1">
      <w:start w:val="1"/>
      <w:numFmt w:val="bullet"/>
      <w:lvlText w:val="o"/>
      <w:lvlJc w:val="left"/>
      <w:pPr>
        <w:ind w:left="5040" w:hanging="360"/>
      </w:pPr>
      <w:rPr>
        <w:rFonts w:ascii="Courier New" w:hAnsi="Courier New" w:cs="Courier New" w:hint="default"/>
      </w:rPr>
    </w:lvl>
    <w:lvl w:ilvl="5" w:tplc="0E6A5F36" w:tentative="1">
      <w:start w:val="1"/>
      <w:numFmt w:val="bullet"/>
      <w:lvlText w:val=""/>
      <w:lvlJc w:val="left"/>
      <w:pPr>
        <w:ind w:left="5760" w:hanging="360"/>
      </w:pPr>
      <w:rPr>
        <w:rFonts w:ascii="Wingdings" w:hAnsi="Wingdings" w:hint="default"/>
      </w:rPr>
    </w:lvl>
    <w:lvl w:ilvl="6" w:tplc="29423EB0" w:tentative="1">
      <w:start w:val="1"/>
      <w:numFmt w:val="bullet"/>
      <w:lvlText w:val=""/>
      <w:lvlJc w:val="left"/>
      <w:pPr>
        <w:ind w:left="6480" w:hanging="360"/>
      </w:pPr>
      <w:rPr>
        <w:rFonts w:ascii="Symbol" w:hAnsi="Symbol" w:hint="default"/>
      </w:rPr>
    </w:lvl>
    <w:lvl w:ilvl="7" w:tplc="7A2A1200" w:tentative="1">
      <w:start w:val="1"/>
      <w:numFmt w:val="bullet"/>
      <w:lvlText w:val="o"/>
      <w:lvlJc w:val="left"/>
      <w:pPr>
        <w:ind w:left="7200" w:hanging="360"/>
      </w:pPr>
      <w:rPr>
        <w:rFonts w:ascii="Courier New" w:hAnsi="Courier New" w:cs="Courier New" w:hint="default"/>
      </w:rPr>
    </w:lvl>
    <w:lvl w:ilvl="8" w:tplc="06146D96" w:tentative="1">
      <w:start w:val="1"/>
      <w:numFmt w:val="bullet"/>
      <w:lvlText w:val=""/>
      <w:lvlJc w:val="left"/>
      <w:pPr>
        <w:ind w:left="7920" w:hanging="360"/>
      </w:pPr>
      <w:rPr>
        <w:rFonts w:ascii="Wingdings" w:hAnsi="Wingdings" w:hint="default"/>
      </w:rPr>
    </w:lvl>
  </w:abstractNum>
  <w:abstractNum w:abstractNumId="7">
    <w:nsid w:val="1DA611F9"/>
    <w:multiLevelType w:val="hybridMultilevel"/>
    <w:tmpl w:val="69CC44BA"/>
    <w:lvl w:ilvl="0" w:tplc="9C806BD6">
      <w:start w:val="1"/>
      <w:numFmt w:val="decimal"/>
      <w:lvlText w:val="%1."/>
      <w:lvlJc w:val="left"/>
      <w:pPr>
        <w:ind w:left="1571" w:hanging="360"/>
      </w:pPr>
    </w:lvl>
    <w:lvl w:ilvl="1" w:tplc="5DA055D6" w:tentative="1">
      <w:start w:val="1"/>
      <w:numFmt w:val="lowerLetter"/>
      <w:lvlText w:val="%2."/>
      <w:lvlJc w:val="left"/>
      <w:pPr>
        <w:ind w:left="2291" w:hanging="360"/>
      </w:pPr>
    </w:lvl>
    <w:lvl w:ilvl="2" w:tplc="4D5059BA" w:tentative="1">
      <w:start w:val="1"/>
      <w:numFmt w:val="lowerRoman"/>
      <w:lvlText w:val="%3."/>
      <w:lvlJc w:val="right"/>
      <w:pPr>
        <w:ind w:left="3011" w:hanging="180"/>
      </w:pPr>
    </w:lvl>
    <w:lvl w:ilvl="3" w:tplc="B8AAEFB2" w:tentative="1">
      <w:start w:val="1"/>
      <w:numFmt w:val="decimal"/>
      <w:lvlText w:val="%4."/>
      <w:lvlJc w:val="left"/>
      <w:pPr>
        <w:ind w:left="3731" w:hanging="360"/>
      </w:pPr>
    </w:lvl>
    <w:lvl w:ilvl="4" w:tplc="3F24A9CE" w:tentative="1">
      <w:start w:val="1"/>
      <w:numFmt w:val="lowerLetter"/>
      <w:lvlText w:val="%5."/>
      <w:lvlJc w:val="left"/>
      <w:pPr>
        <w:ind w:left="4451" w:hanging="360"/>
      </w:pPr>
    </w:lvl>
    <w:lvl w:ilvl="5" w:tplc="F50A4766" w:tentative="1">
      <w:start w:val="1"/>
      <w:numFmt w:val="lowerRoman"/>
      <w:lvlText w:val="%6."/>
      <w:lvlJc w:val="right"/>
      <w:pPr>
        <w:ind w:left="5171" w:hanging="180"/>
      </w:pPr>
    </w:lvl>
    <w:lvl w:ilvl="6" w:tplc="6E9E3C48" w:tentative="1">
      <w:start w:val="1"/>
      <w:numFmt w:val="decimal"/>
      <w:lvlText w:val="%7."/>
      <w:lvlJc w:val="left"/>
      <w:pPr>
        <w:ind w:left="5891" w:hanging="360"/>
      </w:pPr>
    </w:lvl>
    <w:lvl w:ilvl="7" w:tplc="EC841C0C" w:tentative="1">
      <w:start w:val="1"/>
      <w:numFmt w:val="lowerLetter"/>
      <w:lvlText w:val="%8."/>
      <w:lvlJc w:val="left"/>
      <w:pPr>
        <w:ind w:left="6611" w:hanging="360"/>
      </w:pPr>
    </w:lvl>
    <w:lvl w:ilvl="8" w:tplc="69D20C74" w:tentative="1">
      <w:start w:val="1"/>
      <w:numFmt w:val="lowerRoman"/>
      <w:lvlText w:val="%9."/>
      <w:lvlJc w:val="right"/>
      <w:pPr>
        <w:ind w:left="7331" w:hanging="180"/>
      </w:pPr>
    </w:lvl>
  </w:abstractNum>
  <w:abstractNum w:abstractNumId="8">
    <w:nsid w:val="24C565B6"/>
    <w:multiLevelType w:val="hybridMultilevel"/>
    <w:tmpl w:val="76226E9E"/>
    <w:lvl w:ilvl="0" w:tplc="B492D206">
      <w:start w:val="1"/>
      <w:numFmt w:val="decimal"/>
      <w:lvlText w:val="%1."/>
      <w:lvlJc w:val="left"/>
      <w:pPr>
        <w:ind w:left="675" w:hanging="675"/>
      </w:pPr>
      <w:rPr>
        <w:rFonts w:hint="default"/>
      </w:rPr>
    </w:lvl>
    <w:lvl w:ilvl="1" w:tplc="F01865E8" w:tentative="1">
      <w:start w:val="1"/>
      <w:numFmt w:val="lowerLetter"/>
      <w:lvlText w:val="%2."/>
      <w:lvlJc w:val="left"/>
      <w:pPr>
        <w:ind w:left="1080" w:hanging="360"/>
      </w:pPr>
    </w:lvl>
    <w:lvl w:ilvl="2" w:tplc="D0B2F096" w:tentative="1">
      <w:start w:val="1"/>
      <w:numFmt w:val="lowerRoman"/>
      <w:lvlText w:val="%3."/>
      <w:lvlJc w:val="right"/>
      <w:pPr>
        <w:ind w:left="1800" w:hanging="180"/>
      </w:pPr>
    </w:lvl>
    <w:lvl w:ilvl="3" w:tplc="748E01F4" w:tentative="1">
      <w:start w:val="1"/>
      <w:numFmt w:val="decimal"/>
      <w:lvlText w:val="%4."/>
      <w:lvlJc w:val="left"/>
      <w:pPr>
        <w:ind w:left="2520" w:hanging="360"/>
      </w:pPr>
    </w:lvl>
    <w:lvl w:ilvl="4" w:tplc="294A5A2A" w:tentative="1">
      <w:start w:val="1"/>
      <w:numFmt w:val="lowerLetter"/>
      <w:lvlText w:val="%5."/>
      <w:lvlJc w:val="left"/>
      <w:pPr>
        <w:ind w:left="3240" w:hanging="360"/>
      </w:pPr>
    </w:lvl>
    <w:lvl w:ilvl="5" w:tplc="637AD7B8" w:tentative="1">
      <w:start w:val="1"/>
      <w:numFmt w:val="lowerRoman"/>
      <w:lvlText w:val="%6."/>
      <w:lvlJc w:val="right"/>
      <w:pPr>
        <w:ind w:left="3960" w:hanging="180"/>
      </w:pPr>
    </w:lvl>
    <w:lvl w:ilvl="6" w:tplc="51F23206" w:tentative="1">
      <w:start w:val="1"/>
      <w:numFmt w:val="decimal"/>
      <w:lvlText w:val="%7."/>
      <w:lvlJc w:val="left"/>
      <w:pPr>
        <w:ind w:left="4680" w:hanging="360"/>
      </w:pPr>
    </w:lvl>
    <w:lvl w:ilvl="7" w:tplc="743CBB78" w:tentative="1">
      <w:start w:val="1"/>
      <w:numFmt w:val="lowerLetter"/>
      <w:lvlText w:val="%8."/>
      <w:lvlJc w:val="left"/>
      <w:pPr>
        <w:ind w:left="5400" w:hanging="360"/>
      </w:pPr>
    </w:lvl>
    <w:lvl w:ilvl="8" w:tplc="A29AA11A" w:tentative="1">
      <w:start w:val="1"/>
      <w:numFmt w:val="lowerRoman"/>
      <w:lvlText w:val="%9."/>
      <w:lvlJc w:val="right"/>
      <w:pPr>
        <w:ind w:left="6120" w:hanging="180"/>
      </w:pPr>
    </w:lvl>
  </w:abstractNum>
  <w:abstractNum w:abstractNumId="9">
    <w:nsid w:val="271E6370"/>
    <w:multiLevelType w:val="hybridMultilevel"/>
    <w:tmpl w:val="60AABE10"/>
    <w:lvl w:ilvl="0" w:tplc="6810CD6E">
      <w:start w:val="1"/>
      <w:numFmt w:val="decimal"/>
      <w:lvlText w:val="%1."/>
      <w:lvlJc w:val="left"/>
      <w:pPr>
        <w:ind w:left="786" w:hanging="360"/>
      </w:pPr>
      <w:rPr>
        <w:rFonts w:hint="default"/>
      </w:rPr>
    </w:lvl>
    <w:lvl w:ilvl="1" w:tplc="AD3414E0" w:tentative="1">
      <w:start w:val="1"/>
      <w:numFmt w:val="lowerLetter"/>
      <w:lvlText w:val="%2."/>
      <w:lvlJc w:val="left"/>
      <w:pPr>
        <w:ind w:left="1506" w:hanging="360"/>
      </w:pPr>
    </w:lvl>
    <w:lvl w:ilvl="2" w:tplc="179E6F72" w:tentative="1">
      <w:start w:val="1"/>
      <w:numFmt w:val="lowerRoman"/>
      <w:lvlText w:val="%3."/>
      <w:lvlJc w:val="right"/>
      <w:pPr>
        <w:ind w:left="2226" w:hanging="180"/>
      </w:pPr>
    </w:lvl>
    <w:lvl w:ilvl="3" w:tplc="C9DC8B68" w:tentative="1">
      <w:start w:val="1"/>
      <w:numFmt w:val="decimal"/>
      <w:lvlText w:val="%4."/>
      <w:lvlJc w:val="left"/>
      <w:pPr>
        <w:ind w:left="2946" w:hanging="360"/>
      </w:pPr>
    </w:lvl>
    <w:lvl w:ilvl="4" w:tplc="88743378" w:tentative="1">
      <w:start w:val="1"/>
      <w:numFmt w:val="lowerLetter"/>
      <w:lvlText w:val="%5."/>
      <w:lvlJc w:val="left"/>
      <w:pPr>
        <w:ind w:left="3666" w:hanging="360"/>
      </w:pPr>
    </w:lvl>
    <w:lvl w:ilvl="5" w:tplc="E9E47B4A" w:tentative="1">
      <w:start w:val="1"/>
      <w:numFmt w:val="lowerRoman"/>
      <w:lvlText w:val="%6."/>
      <w:lvlJc w:val="right"/>
      <w:pPr>
        <w:ind w:left="4386" w:hanging="180"/>
      </w:pPr>
    </w:lvl>
    <w:lvl w:ilvl="6" w:tplc="3F84F96A" w:tentative="1">
      <w:start w:val="1"/>
      <w:numFmt w:val="decimal"/>
      <w:lvlText w:val="%7."/>
      <w:lvlJc w:val="left"/>
      <w:pPr>
        <w:ind w:left="5106" w:hanging="360"/>
      </w:pPr>
    </w:lvl>
    <w:lvl w:ilvl="7" w:tplc="0562FAFA" w:tentative="1">
      <w:start w:val="1"/>
      <w:numFmt w:val="lowerLetter"/>
      <w:lvlText w:val="%8."/>
      <w:lvlJc w:val="left"/>
      <w:pPr>
        <w:ind w:left="5826" w:hanging="360"/>
      </w:pPr>
    </w:lvl>
    <w:lvl w:ilvl="8" w:tplc="F920F496" w:tentative="1">
      <w:start w:val="1"/>
      <w:numFmt w:val="lowerRoman"/>
      <w:lvlText w:val="%9."/>
      <w:lvlJc w:val="right"/>
      <w:pPr>
        <w:ind w:left="6546" w:hanging="180"/>
      </w:pPr>
    </w:lvl>
  </w:abstractNum>
  <w:abstractNum w:abstractNumId="10">
    <w:nsid w:val="278D1041"/>
    <w:multiLevelType w:val="hybridMultilevel"/>
    <w:tmpl w:val="7E200392"/>
    <w:lvl w:ilvl="0" w:tplc="C77EAEA2">
      <w:start w:val="1"/>
      <w:numFmt w:val="lowerLetter"/>
      <w:lvlText w:val="%1."/>
      <w:lvlJc w:val="left"/>
      <w:pPr>
        <w:ind w:left="1056" w:hanging="630"/>
      </w:pPr>
      <w:rPr>
        <w:rFonts w:hint="default"/>
      </w:rPr>
    </w:lvl>
    <w:lvl w:ilvl="1" w:tplc="1BDE8EE0" w:tentative="1">
      <w:start w:val="1"/>
      <w:numFmt w:val="lowerLetter"/>
      <w:lvlText w:val="%2."/>
      <w:lvlJc w:val="left"/>
      <w:pPr>
        <w:ind w:left="1506" w:hanging="360"/>
      </w:pPr>
    </w:lvl>
    <w:lvl w:ilvl="2" w:tplc="CA28DE78" w:tentative="1">
      <w:start w:val="1"/>
      <w:numFmt w:val="lowerRoman"/>
      <w:lvlText w:val="%3."/>
      <w:lvlJc w:val="right"/>
      <w:pPr>
        <w:ind w:left="2226" w:hanging="180"/>
      </w:pPr>
    </w:lvl>
    <w:lvl w:ilvl="3" w:tplc="31E82206" w:tentative="1">
      <w:start w:val="1"/>
      <w:numFmt w:val="decimal"/>
      <w:lvlText w:val="%4."/>
      <w:lvlJc w:val="left"/>
      <w:pPr>
        <w:ind w:left="2946" w:hanging="360"/>
      </w:pPr>
    </w:lvl>
    <w:lvl w:ilvl="4" w:tplc="B04A8E52" w:tentative="1">
      <w:start w:val="1"/>
      <w:numFmt w:val="lowerLetter"/>
      <w:lvlText w:val="%5."/>
      <w:lvlJc w:val="left"/>
      <w:pPr>
        <w:ind w:left="3666" w:hanging="360"/>
      </w:pPr>
    </w:lvl>
    <w:lvl w:ilvl="5" w:tplc="47364BD2" w:tentative="1">
      <w:start w:val="1"/>
      <w:numFmt w:val="lowerRoman"/>
      <w:lvlText w:val="%6."/>
      <w:lvlJc w:val="right"/>
      <w:pPr>
        <w:ind w:left="4386" w:hanging="180"/>
      </w:pPr>
    </w:lvl>
    <w:lvl w:ilvl="6" w:tplc="0A885DB6" w:tentative="1">
      <w:start w:val="1"/>
      <w:numFmt w:val="decimal"/>
      <w:lvlText w:val="%7."/>
      <w:lvlJc w:val="left"/>
      <w:pPr>
        <w:ind w:left="5106" w:hanging="360"/>
      </w:pPr>
    </w:lvl>
    <w:lvl w:ilvl="7" w:tplc="7BC00110" w:tentative="1">
      <w:start w:val="1"/>
      <w:numFmt w:val="lowerLetter"/>
      <w:lvlText w:val="%8."/>
      <w:lvlJc w:val="left"/>
      <w:pPr>
        <w:ind w:left="5826" w:hanging="360"/>
      </w:pPr>
    </w:lvl>
    <w:lvl w:ilvl="8" w:tplc="3A3688CE" w:tentative="1">
      <w:start w:val="1"/>
      <w:numFmt w:val="lowerRoman"/>
      <w:lvlText w:val="%9."/>
      <w:lvlJc w:val="right"/>
      <w:pPr>
        <w:ind w:left="6546" w:hanging="180"/>
      </w:pPr>
    </w:lvl>
  </w:abstractNum>
  <w:abstractNum w:abstractNumId="11">
    <w:nsid w:val="304D3845"/>
    <w:multiLevelType w:val="hybridMultilevel"/>
    <w:tmpl w:val="E07EF082"/>
    <w:lvl w:ilvl="0" w:tplc="EAA43DD6">
      <w:start w:val="1"/>
      <w:numFmt w:val="decimal"/>
      <w:lvlText w:val="%1."/>
      <w:lvlJc w:val="left"/>
      <w:pPr>
        <w:ind w:left="720" w:hanging="360"/>
      </w:pPr>
      <w:rPr>
        <w:rFonts w:hint="default"/>
      </w:rPr>
    </w:lvl>
    <w:lvl w:ilvl="1" w:tplc="BBC8822E" w:tentative="1">
      <w:start w:val="1"/>
      <w:numFmt w:val="lowerLetter"/>
      <w:lvlText w:val="%2."/>
      <w:lvlJc w:val="left"/>
      <w:pPr>
        <w:ind w:left="1440" w:hanging="360"/>
      </w:pPr>
    </w:lvl>
    <w:lvl w:ilvl="2" w:tplc="A9B6250C" w:tentative="1">
      <w:start w:val="1"/>
      <w:numFmt w:val="lowerRoman"/>
      <w:lvlText w:val="%3."/>
      <w:lvlJc w:val="right"/>
      <w:pPr>
        <w:ind w:left="2160" w:hanging="180"/>
      </w:pPr>
    </w:lvl>
    <w:lvl w:ilvl="3" w:tplc="BC06A2E6" w:tentative="1">
      <w:start w:val="1"/>
      <w:numFmt w:val="decimal"/>
      <w:lvlText w:val="%4."/>
      <w:lvlJc w:val="left"/>
      <w:pPr>
        <w:ind w:left="2880" w:hanging="360"/>
      </w:pPr>
    </w:lvl>
    <w:lvl w:ilvl="4" w:tplc="E7867DC4" w:tentative="1">
      <w:start w:val="1"/>
      <w:numFmt w:val="lowerLetter"/>
      <w:lvlText w:val="%5."/>
      <w:lvlJc w:val="left"/>
      <w:pPr>
        <w:ind w:left="3600" w:hanging="360"/>
      </w:pPr>
    </w:lvl>
    <w:lvl w:ilvl="5" w:tplc="4F3C27D4" w:tentative="1">
      <w:start w:val="1"/>
      <w:numFmt w:val="lowerRoman"/>
      <w:lvlText w:val="%6."/>
      <w:lvlJc w:val="right"/>
      <w:pPr>
        <w:ind w:left="4320" w:hanging="180"/>
      </w:pPr>
    </w:lvl>
    <w:lvl w:ilvl="6" w:tplc="77F20D3C" w:tentative="1">
      <w:start w:val="1"/>
      <w:numFmt w:val="decimal"/>
      <w:lvlText w:val="%7."/>
      <w:lvlJc w:val="left"/>
      <w:pPr>
        <w:ind w:left="5040" w:hanging="360"/>
      </w:pPr>
    </w:lvl>
    <w:lvl w:ilvl="7" w:tplc="2A86E5F4" w:tentative="1">
      <w:start w:val="1"/>
      <w:numFmt w:val="lowerLetter"/>
      <w:lvlText w:val="%8."/>
      <w:lvlJc w:val="left"/>
      <w:pPr>
        <w:ind w:left="5760" w:hanging="360"/>
      </w:pPr>
    </w:lvl>
    <w:lvl w:ilvl="8" w:tplc="41108B9A" w:tentative="1">
      <w:start w:val="1"/>
      <w:numFmt w:val="lowerRoman"/>
      <w:lvlText w:val="%9."/>
      <w:lvlJc w:val="right"/>
      <w:pPr>
        <w:ind w:left="6480" w:hanging="180"/>
      </w:pPr>
    </w:lvl>
  </w:abstractNum>
  <w:abstractNum w:abstractNumId="12">
    <w:nsid w:val="33D946A8"/>
    <w:multiLevelType w:val="hybridMultilevel"/>
    <w:tmpl w:val="94B0CD68"/>
    <w:lvl w:ilvl="0" w:tplc="605C4534">
      <w:start w:val="1"/>
      <w:numFmt w:val="lowerLetter"/>
      <w:lvlText w:val="%1."/>
      <w:lvlJc w:val="left"/>
      <w:pPr>
        <w:ind w:left="786" w:hanging="360"/>
      </w:pPr>
      <w:rPr>
        <w:rFonts w:hint="default"/>
      </w:rPr>
    </w:lvl>
    <w:lvl w:ilvl="1" w:tplc="6BCCCE9A" w:tentative="1">
      <w:start w:val="1"/>
      <w:numFmt w:val="lowerLetter"/>
      <w:lvlText w:val="%2."/>
      <w:lvlJc w:val="left"/>
      <w:pPr>
        <w:ind w:left="1506" w:hanging="360"/>
      </w:pPr>
    </w:lvl>
    <w:lvl w:ilvl="2" w:tplc="A904AC7A" w:tentative="1">
      <w:start w:val="1"/>
      <w:numFmt w:val="lowerRoman"/>
      <w:lvlText w:val="%3."/>
      <w:lvlJc w:val="right"/>
      <w:pPr>
        <w:ind w:left="2226" w:hanging="180"/>
      </w:pPr>
    </w:lvl>
    <w:lvl w:ilvl="3" w:tplc="3EB865D4" w:tentative="1">
      <w:start w:val="1"/>
      <w:numFmt w:val="decimal"/>
      <w:lvlText w:val="%4."/>
      <w:lvlJc w:val="left"/>
      <w:pPr>
        <w:ind w:left="2946" w:hanging="360"/>
      </w:pPr>
    </w:lvl>
    <w:lvl w:ilvl="4" w:tplc="118808E0" w:tentative="1">
      <w:start w:val="1"/>
      <w:numFmt w:val="lowerLetter"/>
      <w:lvlText w:val="%5."/>
      <w:lvlJc w:val="left"/>
      <w:pPr>
        <w:ind w:left="3666" w:hanging="360"/>
      </w:pPr>
    </w:lvl>
    <w:lvl w:ilvl="5" w:tplc="DA06ABEC" w:tentative="1">
      <w:start w:val="1"/>
      <w:numFmt w:val="lowerRoman"/>
      <w:lvlText w:val="%6."/>
      <w:lvlJc w:val="right"/>
      <w:pPr>
        <w:ind w:left="4386" w:hanging="180"/>
      </w:pPr>
    </w:lvl>
    <w:lvl w:ilvl="6" w:tplc="080E571E" w:tentative="1">
      <w:start w:val="1"/>
      <w:numFmt w:val="decimal"/>
      <w:lvlText w:val="%7."/>
      <w:lvlJc w:val="left"/>
      <w:pPr>
        <w:ind w:left="5106" w:hanging="360"/>
      </w:pPr>
    </w:lvl>
    <w:lvl w:ilvl="7" w:tplc="889657A8" w:tentative="1">
      <w:start w:val="1"/>
      <w:numFmt w:val="lowerLetter"/>
      <w:lvlText w:val="%8."/>
      <w:lvlJc w:val="left"/>
      <w:pPr>
        <w:ind w:left="5826" w:hanging="360"/>
      </w:pPr>
    </w:lvl>
    <w:lvl w:ilvl="8" w:tplc="291A3CEC" w:tentative="1">
      <w:start w:val="1"/>
      <w:numFmt w:val="lowerRoman"/>
      <w:lvlText w:val="%9."/>
      <w:lvlJc w:val="right"/>
      <w:pPr>
        <w:ind w:left="6546" w:hanging="180"/>
      </w:pPr>
    </w:lvl>
  </w:abstractNum>
  <w:abstractNum w:abstractNumId="13">
    <w:nsid w:val="3ABA34B8"/>
    <w:multiLevelType w:val="hybridMultilevel"/>
    <w:tmpl w:val="21229E52"/>
    <w:lvl w:ilvl="0" w:tplc="A2D0985A">
      <w:start w:val="1"/>
      <w:numFmt w:val="decimal"/>
      <w:lvlText w:val="3.%1"/>
      <w:lvlJc w:val="left"/>
      <w:pPr>
        <w:ind w:left="360" w:hanging="360"/>
      </w:pPr>
      <w:rPr>
        <w:rFonts w:hint="default"/>
      </w:rPr>
    </w:lvl>
    <w:lvl w:ilvl="1" w:tplc="2990DEC6">
      <w:start w:val="1"/>
      <w:numFmt w:val="lowerLetter"/>
      <w:lvlText w:val="%2."/>
      <w:lvlJc w:val="left"/>
      <w:pPr>
        <w:ind w:left="1905" w:hanging="825"/>
      </w:pPr>
      <w:rPr>
        <w:rFonts w:hint="default"/>
      </w:rPr>
    </w:lvl>
    <w:lvl w:ilvl="2" w:tplc="06B21CA6">
      <w:start w:val="1"/>
      <w:numFmt w:val="decimal"/>
      <w:lvlText w:val="%3."/>
      <w:lvlJc w:val="left"/>
      <w:pPr>
        <w:ind w:left="2340" w:hanging="360"/>
      </w:pPr>
      <w:rPr>
        <w:rFonts w:hint="default"/>
      </w:rPr>
    </w:lvl>
    <w:lvl w:ilvl="3" w:tplc="582C09EE" w:tentative="1">
      <w:start w:val="1"/>
      <w:numFmt w:val="decimal"/>
      <w:lvlText w:val="%4."/>
      <w:lvlJc w:val="left"/>
      <w:pPr>
        <w:ind w:left="2880" w:hanging="360"/>
      </w:pPr>
    </w:lvl>
    <w:lvl w:ilvl="4" w:tplc="2C5E7B60" w:tentative="1">
      <w:start w:val="1"/>
      <w:numFmt w:val="lowerLetter"/>
      <w:lvlText w:val="%5."/>
      <w:lvlJc w:val="left"/>
      <w:pPr>
        <w:ind w:left="3600" w:hanging="360"/>
      </w:pPr>
    </w:lvl>
    <w:lvl w:ilvl="5" w:tplc="6E02DFEC" w:tentative="1">
      <w:start w:val="1"/>
      <w:numFmt w:val="lowerRoman"/>
      <w:lvlText w:val="%6."/>
      <w:lvlJc w:val="right"/>
      <w:pPr>
        <w:ind w:left="4320" w:hanging="180"/>
      </w:pPr>
    </w:lvl>
    <w:lvl w:ilvl="6" w:tplc="F886D090" w:tentative="1">
      <w:start w:val="1"/>
      <w:numFmt w:val="decimal"/>
      <w:lvlText w:val="%7."/>
      <w:lvlJc w:val="left"/>
      <w:pPr>
        <w:ind w:left="5040" w:hanging="360"/>
      </w:pPr>
    </w:lvl>
    <w:lvl w:ilvl="7" w:tplc="B4628EFA" w:tentative="1">
      <w:start w:val="1"/>
      <w:numFmt w:val="lowerLetter"/>
      <w:lvlText w:val="%8."/>
      <w:lvlJc w:val="left"/>
      <w:pPr>
        <w:ind w:left="5760" w:hanging="360"/>
      </w:pPr>
    </w:lvl>
    <w:lvl w:ilvl="8" w:tplc="8F0E721C" w:tentative="1">
      <w:start w:val="1"/>
      <w:numFmt w:val="lowerRoman"/>
      <w:lvlText w:val="%9."/>
      <w:lvlJc w:val="right"/>
      <w:pPr>
        <w:ind w:left="6480" w:hanging="180"/>
      </w:pPr>
    </w:lvl>
  </w:abstractNum>
  <w:abstractNum w:abstractNumId="14">
    <w:nsid w:val="3AEC2883"/>
    <w:multiLevelType w:val="hybridMultilevel"/>
    <w:tmpl w:val="EFE261F6"/>
    <w:lvl w:ilvl="0" w:tplc="8536FD54">
      <w:start w:val="1"/>
      <w:numFmt w:val="decimal"/>
      <w:lvlText w:val="%1."/>
      <w:lvlJc w:val="left"/>
      <w:pPr>
        <w:ind w:left="720" w:hanging="360"/>
      </w:pPr>
      <w:rPr>
        <w:rFonts w:hint="default"/>
      </w:rPr>
    </w:lvl>
    <w:lvl w:ilvl="1" w:tplc="03FAE446" w:tentative="1">
      <w:start w:val="1"/>
      <w:numFmt w:val="lowerLetter"/>
      <w:lvlText w:val="%2."/>
      <w:lvlJc w:val="left"/>
      <w:pPr>
        <w:ind w:left="1440" w:hanging="360"/>
      </w:pPr>
    </w:lvl>
    <w:lvl w:ilvl="2" w:tplc="064A9ACC" w:tentative="1">
      <w:start w:val="1"/>
      <w:numFmt w:val="lowerRoman"/>
      <w:lvlText w:val="%3."/>
      <w:lvlJc w:val="right"/>
      <w:pPr>
        <w:ind w:left="2160" w:hanging="180"/>
      </w:pPr>
    </w:lvl>
    <w:lvl w:ilvl="3" w:tplc="20E2CB3C" w:tentative="1">
      <w:start w:val="1"/>
      <w:numFmt w:val="decimal"/>
      <w:lvlText w:val="%4."/>
      <w:lvlJc w:val="left"/>
      <w:pPr>
        <w:ind w:left="2880" w:hanging="360"/>
      </w:pPr>
    </w:lvl>
    <w:lvl w:ilvl="4" w:tplc="41D88FC0" w:tentative="1">
      <w:start w:val="1"/>
      <w:numFmt w:val="lowerLetter"/>
      <w:lvlText w:val="%5."/>
      <w:lvlJc w:val="left"/>
      <w:pPr>
        <w:ind w:left="3600" w:hanging="360"/>
      </w:pPr>
    </w:lvl>
    <w:lvl w:ilvl="5" w:tplc="404AA2A4" w:tentative="1">
      <w:start w:val="1"/>
      <w:numFmt w:val="lowerRoman"/>
      <w:lvlText w:val="%6."/>
      <w:lvlJc w:val="right"/>
      <w:pPr>
        <w:ind w:left="4320" w:hanging="180"/>
      </w:pPr>
    </w:lvl>
    <w:lvl w:ilvl="6" w:tplc="E4EAA610" w:tentative="1">
      <w:start w:val="1"/>
      <w:numFmt w:val="decimal"/>
      <w:lvlText w:val="%7."/>
      <w:lvlJc w:val="left"/>
      <w:pPr>
        <w:ind w:left="5040" w:hanging="360"/>
      </w:pPr>
    </w:lvl>
    <w:lvl w:ilvl="7" w:tplc="1DC8F2B2" w:tentative="1">
      <w:start w:val="1"/>
      <w:numFmt w:val="lowerLetter"/>
      <w:lvlText w:val="%8."/>
      <w:lvlJc w:val="left"/>
      <w:pPr>
        <w:ind w:left="5760" w:hanging="360"/>
      </w:pPr>
    </w:lvl>
    <w:lvl w:ilvl="8" w:tplc="387A1BF0" w:tentative="1">
      <w:start w:val="1"/>
      <w:numFmt w:val="lowerRoman"/>
      <w:lvlText w:val="%9."/>
      <w:lvlJc w:val="right"/>
      <w:pPr>
        <w:ind w:left="6480" w:hanging="180"/>
      </w:pPr>
    </w:lvl>
  </w:abstractNum>
  <w:abstractNum w:abstractNumId="15">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nsid w:val="4C023E24"/>
    <w:multiLevelType w:val="hybridMultilevel"/>
    <w:tmpl w:val="BABC6BFA"/>
    <w:lvl w:ilvl="0" w:tplc="A9D867E8">
      <w:start w:val="1"/>
      <w:numFmt w:val="decimal"/>
      <w:lvlText w:val="%1."/>
      <w:lvlJc w:val="left"/>
      <w:pPr>
        <w:ind w:left="1069" w:hanging="360"/>
      </w:pPr>
      <w:rPr>
        <w:rFonts w:hint="default"/>
      </w:rPr>
    </w:lvl>
    <w:lvl w:ilvl="1" w:tplc="BEAAF8CA" w:tentative="1">
      <w:start w:val="1"/>
      <w:numFmt w:val="lowerLetter"/>
      <w:lvlText w:val="%2."/>
      <w:lvlJc w:val="left"/>
      <w:pPr>
        <w:ind w:left="1789" w:hanging="360"/>
      </w:pPr>
    </w:lvl>
    <w:lvl w:ilvl="2" w:tplc="0AFCC794" w:tentative="1">
      <w:start w:val="1"/>
      <w:numFmt w:val="lowerRoman"/>
      <w:lvlText w:val="%3."/>
      <w:lvlJc w:val="right"/>
      <w:pPr>
        <w:ind w:left="2509" w:hanging="180"/>
      </w:pPr>
    </w:lvl>
    <w:lvl w:ilvl="3" w:tplc="2F621B3C" w:tentative="1">
      <w:start w:val="1"/>
      <w:numFmt w:val="decimal"/>
      <w:lvlText w:val="%4."/>
      <w:lvlJc w:val="left"/>
      <w:pPr>
        <w:ind w:left="3229" w:hanging="360"/>
      </w:pPr>
    </w:lvl>
    <w:lvl w:ilvl="4" w:tplc="43300C94" w:tentative="1">
      <w:start w:val="1"/>
      <w:numFmt w:val="lowerLetter"/>
      <w:lvlText w:val="%5."/>
      <w:lvlJc w:val="left"/>
      <w:pPr>
        <w:ind w:left="3949" w:hanging="360"/>
      </w:pPr>
    </w:lvl>
    <w:lvl w:ilvl="5" w:tplc="0DE09E74" w:tentative="1">
      <w:start w:val="1"/>
      <w:numFmt w:val="lowerRoman"/>
      <w:lvlText w:val="%6."/>
      <w:lvlJc w:val="right"/>
      <w:pPr>
        <w:ind w:left="4669" w:hanging="180"/>
      </w:pPr>
    </w:lvl>
    <w:lvl w:ilvl="6" w:tplc="4AFAB4B6" w:tentative="1">
      <w:start w:val="1"/>
      <w:numFmt w:val="decimal"/>
      <w:lvlText w:val="%7."/>
      <w:lvlJc w:val="left"/>
      <w:pPr>
        <w:ind w:left="5389" w:hanging="360"/>
      </w:pPr>
    </w:lvl>
    <w:lvl w:ilvl="7" w:tplc="262A6E0C" w:tentative="1">
      <w:start w:val="1"/>
      <w:numFmt w:val="lowerLetter"/>
      <w:lvlText w:val="%8."/>
      <w:lvlJc w:val="left"/>
      <w:pPr>
        <w:ind w:left="6109" w:hanging="360"/>
      </w:pPr>
    </w:lvl>
    <w:lvl w:ilvl="8" w:tplc="2F0AE95E" w:tentative="1">
      <w:start w:val="1"/>
      <w:numFmt w:val="lowerRoman"/>
      <w:lvlText w:val="%9."/>
      <w:lvlJc w:val="right"/>
      <w:pPr>
        <w:ind w:left="6829" w:hanging="180"/>
      </w:pPr>
    </w:lvl>
  </w:abstractNum>
  <w:abstractNum w:abstractNumId="17">
    <w:nsid w:val="4D131759"/>
    <w:multiLevelType w:val="hybridMultilevel"/>
    <w:tmpl w:val="7272E314"/>
    <w:lvl w:ilvl="0" w:tplc="21CE5196">
      <w:start w:val="1"/>
      <w:numFmt w:val="decimal"/>
      <w:lvlText w:val="%1."/>
      <w:lvlJc w:val="left"/>
      <w:pPr>
        <w:ind w:left="360" w:hanging="360"/>
      </w:pPr>
      <w:rPr>
        <w:rFonts w:hint="default"/>
      </w:rPr>
    </w:lvl>
    <w:lvl w:ilvl="1" w:tplc="7EFE7E84" w:tentative="1">
      <w:start w:val="1"/>
      <w:numFmt w:val="lowerLetter"/>
      <w:lvlText w:val="%2."/>
      <w:lvlJc w:val="left"/>
      <w:pPr>
        <w:ind w:left="1080" w:hanging="360"/>
      </w:pPr>
    </w:lvl>
    <w:lvl w:ilvl="2" w:tplc="324284AE" w:tentative="1">
      <w:start w:val="1"/>
      <w:numFmt w:val="lowerRoman"/>
      <w:lvlText w:val="%3."/>
      <w:lvlJc w:val="right"/>
      <w:pPr>
        <w:ind w:left="1800" w:hanging="180"/>
      </w:pPr>
    </w:lvl>
    <w:lvl w:ilvl="3" w:tplc="A84CFDD4" w:tentative="1">
      <w:start w:val="1"/>
      <w:numFmt w:val="decimal"/>
      <w:lvlText w:val="%4."/>
      <w:lvlJc w:val="left"/>
      <w:pPr>
        <w:ind w:left="2520" w:hanging="360"/>
      </w:pPr>
    </w:lvl>
    <w:lvl w:ilvl="4" w:tplc="619AB37A" w:tentative="1">
      <w:start w:val="1"/>
      <w:numFmt w:val="lowerLetter"/>
      <w:lvlText w:val="%5."/>
      <w:lvlJc w:val="left"/>
      <w:pPr>
        <w:ind w:left="3240" w:hanging="360"/>
      </w:pPr>
    </w:lvl>
    <w:lvl w:ilvl="5" w:tplc="E9502EE2" w:tentative="1">
      <w:start w:val="1"/>
      <w:numFmt w:val="lowerRoman"/>
      <w:lvlText w:val="%6."/>
      <w:lvlJc w:val="right"/>
      <w:pPr>
        <w:ind w:left="3960" w:hanging="180"/>
      </w:pPr>
    </w:lvl>
    <w:lvl w:ilvl="6" w:tplc="DA6260AA" w:tentative="1">
      <w:start w:val="1"/>
      <w:numFmt w:val="decimal"/>
      <w:lvlText w:val="%7."/>
      <w:lvlJc w:val="left"/>
      <w:pPr>
        <w:ind w:left="4680" w:hanging="360"/>
      </w:pPr>
    </w:lvl>
    <w:lvl w:ilvl="7" w:tplc="EAC673AC" w:tentative="1">
      <w:start w:val="1"/>
      <w:numFmt w:val="lowerLetter"/>
      <w:lvlText w:val="%8."/>
      <w:lvlJc w:val="left"/>
      <w:pPr>
        <w:ind w:left="5400" w:hanging="360"/>
      </w:pPr>
    </w:lvl>
    <w:lvl w:ilvl="8" w:tplc="E7F2ECD6" w:tentative="1">
      <w:start w:val="1"/>
      <w:numFmt w:val="lowerRoman"/>
      <w:lvlText w:val="%9."/>
      <w:lvlJc w:val="right"/>
      <w:pPr>
        <w:ind w:left="6120" w:hanging="180"/>
      </w:pPr>
    </w:lvl>
  </w:abstractNum>
  <w:abstractNum w:abstractNumId="18">
    <w:nsid w:val="51253EB1"/>
    <w:multiLevelType w:val="hybridMultilevel"/>
    <w:tmpl w:val="8E4C690E"/>
    <w:lvl w:ilvl="0" w:tplc="F52AD282">
      <w:start w:val="1"/>
      <w:numFmt w:val="decimal"/>
      <w:lvlText w:val="%1)"/>
      <w:lvlJc w:val="left"/>
      <w:pPr>
        <w:ind w:left="720" w:hanging="360"/>
      </w:pPr>
    </w:lvl>
    <w:lvl w:ilvl="1" w:tplc="46022650" w:tentative="1">
      <w:start w:val="1"/>
      <w:numFmt w:val="lowerLetter"/>
      <w:lvlText w:val="%2."/>
      <w:lvlJc w:val="left"/>
      <w:pPr>
        <w:ind w:left="1440" w:hanging="360"/>
      </w:pPr>
    </w:lvl>
    <w:lvl w:ilvl="2" w:tplc="43F0C354" w:tentative="1">
      <w:start w:val="1"/>
      <w:numFmt w:val="lowerRoman"/>
      <w:lvlText w:val="%3."/>
      <w:lvlJc w:val="right"/>
      <w:pPr>
        <w:ind w:left="2160" w:hanging="180"/>
      </w:pPr>
    </w:lvl>
    <w:lvl w:ilvl="3" w:tplc="F8FA25B0" w:tentative="1">
      <w:start w:val="1"/>
      <w:numFmt w:val="decimal"/>
      <w:lvlText w:val="%4."/>
      <w:lvlJc w:val="left"/>
      <w:pPr>
        <w:ind w:left="2880" w:hanging="360"/>
      </w:pPr>
    </w:lvl>
    <w:lvl w:ilvl="4" w:tplc="50C64A56" w:tentative="1">
      <w:start w:val="1"/>
      <w:numFmt w:val="lowerLetter"/>
      <w:lvlText w:val="%5."/>
      <w:lvlJc w:val="left"/>
      <w:pPr>
        <w:ind w:left="3600" w:hanging="360"/>
      </w:pPr>
    </w:lvl>
    <w:lvl w:ilvl="5" w:tplc="56101524" w:tentative="1">
      <w:start w:val="1"/>
      <w:numFmt w:val="lowerRoman"/>
      <w:lvlText w:val="%6."/>
      <w:lvlJc w:val="right"/>
      <w:pPr>
        <w:ind w:left="4320" w:hanging="180"/>
      </w:pPr>
    </w:lvl>
    <w:lvl w:ilvl="6" w:tplc="511C34E6" w:tentative="1">
      <w:start w:val="1"/>
      <w:numFmt w:val="decimal"/>
      <w:lvlText w:val="%7."/>
      <w:lvlJc w:val="left"/>
      <w:pPr>
        <w:ind w:left="5040" w:hanging="360"/>
      </w:pPr>
    </w:lvl>
    <w:lvl w:ilvl="7" w:tplc="B9905834" w:tentative="1">
      <w:start w:val="1"/>
      <w:numFmt w:val="lowerLetter"/>
      <w:lvlText w:val="%8."/>
      <w:lvlJc w:val="left"/>
      <w:pPr>
        <w:ind w:left="5760" w:hanging="360"/>
      </w:pPr>
    </w:lvl>
    <w:lvl w:ilvl="8" w:tplc="4448CFAC" w:tentative="1">
      <w:start w:val="1"/>
      <w:numFmt w:val="lowerRoman"/>
      <w:lvlText w:val="%9."/>
      <w:lvlJc w:val="right"/>
      <w:pPr>
        <w:ind w:left="6480" w:hanging="180"/>
      </w:pPr>
    </w:lvl>
  </w:abstractNum>
  <w:abstractNum w:abstractNumId="19">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08A50DC"/>
    <w:multiLevelType w:val="hybridMultilevel"/>
    <w:tmpl w:val="B254BD9C"/>
    <w:lvl w:ilvl="0" w:tplc="A0C2A154">
      <w:start w:val="1"/>
      <w:numFmt w:val="decimal"/>
      <w:lvlText w:val="%1."/>
      <w:lvlJc w:val="left"/>
      <w:pPr>
        <w:ind w:left="720" w:hanging="360"/>
      </w:pPr>
      <w:rPr>
        <w:rFonts w:hint="default"/>
      </w:rPr>
    </w:lvl>
    <w:lvl w:ilvl="1" w:tplc="A78AEEBE" w:tentative="1">
      <w:start w:val="1"/>
      <w:numFmt w:val="lowerLetter"/>
      <w:lvlText w:val="%2."/>
      <w:lvlJc w:val="left"/>
      <w:pPr>
        <w:ind w:left="1440" w:hanging="360"/>
      </w:pPr>
    </w:lvl>
    <w:lvl w:ilvl="2" w:tplc="7592C8E2" w:tentative="1">
      <w:start w:val="1"/>
      <w:numFmt w:val="lowerRoman"/>
      <w:lvlText w:val="%3."/>
      <w:lvlJc w:val="right"/>
      <w:pPr>
        <w:ind w:left="2160" w:hanging="180"/>
      </w:pPr>
    </w:lvl>
    <w:lvl w:ilvl="3" w:tplc="17B61616" w:tentative="1">
      <w:start w:val="1"/>
      <w:numFmt w:val="decimal"/>
      <w:lvlText w:val="%4."/>
      <w:lvlJc w:val="left"/>
      <w:pPr>
        <w:ind w:left="2880" w:hanging="360"/>
      </w:pPr>
    </w:lvl>
    <w:lvl w:ilvl="4" w:tplc="CC1269DA" w:tentative="1">
      <w:start w:val="1"/>
      <w:numFmt w:val="lowerLetter"/>
      <w:lvlText w:val="%5."/>
      <w:lvlJc w:val="left"/>
      <w:pPr>
        <w:ind w:left="3600" w:hanging="360"/>
      </w:pPr>
    </w:lvl>
    <w:lvl w:ilvl="5" w:tplc="5F06CD1E" w:tentative="1">
      <w:start w:val="1"/>
      <w:numFmt w:val="lowerRoman"/>
      <w:lvlText w:val="%6."/>
      <w:lvlJc w:val="right"/>
      <w:pPr>
        <w:ind w:left="4320" w:hanging="180"/>
      </w:pPr>
    </w:lvl>
    <w:lvl w:ilvl="6" w:tplc="93DE2750" w:tentative="1">
      <w:start w:val="1"/>
      <w:numFmt w:val="decimal"/>
      <w:lvlText w:val="%7."/>
      <w:lvlJc w:val="left"/>
      <w:pPr>
        <w:ind w:left="5040" w:hanging="360"/>
      </w:pPr>
    </w:lvl>
    <w:lvl w:ilvl="7" w:tplc="7E62153E" w:tentative="1">
      <w:start w:val="1"/>
      <w:numFmt w:val="lowerLetter"/>
      <w:lvlText w:val="%8."/>
      <w:lvlJc w:val="left"/>
      <w:pPr>
        <w:ind w:left="5760" w:hanging="360"/>
      </w:pPr>
    </w:lvl>
    <w:lvl w:ilvl="8" w:tplc="5058A36A" w:tentative="1">
      <w:start w:val="1"/>
      <w:numFmt w:val="lowerRoman"/>
      <w:lvlText w:val="%9."/>
      <w:lvlJc w:val="right"/>
      <w:pPr>
        <w:ind w:left="6480" w:hanging="180"/>
      </w:pPr>
    </w:lvl>
  </w:abstractNum>
  <w:abstractNum w:abstractNumId="21">
    <w:nsid w:val="648C1B75"/>
    <w:multiLevelType w:val="hybridMultilevel"/>
    <w:tmpl w:val="1200007C"/>
    <w:lvl w:ilvl="0" w:tplc="ECCA8B8C">
      <w:start w:val="1"/>
      <w:numFmt w:val="decimal"/>
      <w:lvlText w:val="%1."/>
      <w:lvlJc w:val="left"/>
      <w:pPr>
        <w:ind w:left="1211" w:hanging="360"/>
      </w:pPr>
      <w:rPr>
        <w:rFonts w:ascii="Times New Roman" w:eastAsia="Calibri" w:hAnsi="Times New Roman" w:cs="Times New Roman"/>
      </w:rPr>
    </w:lvl>
    <w:lvl w:ilvl="1" w:tplc="FC52A064" w:tentative="1">
      <w:start w:val="1"/>
      <w:numFmt w:val="lowerLetter"/>
      <w:lvlText w:val="%2."/>
      <w:lvlJc w:val="left"/>
      <w:pPr>
        <w:ind w:left="1931" w:hanging="360"/>
      </w:pPr>
    </w:lvl>
    <w:lvl w:ilvl="2" w:tplc="83D61148" w:tentative="1">
      <w:start w:val="1"/>
      <w:numFmt w:val="lowerRoman"/>
      <w:lvlText w:val="%3."/>
      <w:lvlJc w:val="right"/>
      <w:pPr>
        <w:ind w:left="2651" w:hanging="180"/>
      </w:pPr>
    </w:lvl>
    <w:lvl w:ilvl="3" w:tplc="4308F768" w:tentative="1">
      <w:start w:val="1"/>
      <w:numFmt w:val="decimal"/>
      <w:lvlText w:val="%4."/>
      <w:lvlJc w:val="left"/>
      <w:pPr>
        <w:ind w:left="3371" w:hanging="360"/>
      </w:pPr>
    </w:lvl>
    <w:lvl w:ilvl="4" w:tplc="0E7C268C" w:tentative="1">
      <w:start w:val="1"/>
      <w:numFmt w:val="lowerLetter"/>
      <w:lvlText w:val="%5."/>
      <w:lvlJc w:val="left"/>
      <w:pPr>
        <w:ind w:left="4091" w:hanging="360"/>
      </w:pPr>
    </w:lvl>
    <w:lvl w:ilvl="5" w:tplc="21949F98" w:tentative="1">
      <w:start w:val="1"/>
      <w:numFmt w:val="lowerRoman"/>
      <w:lvlText w:val="%6."/>
      <w:lvlJc w:val="right"/>
      <w:pPr>
        <w:ind w:left="4811" w:hanging="180"/>
      </w:pPr>
    </w:lvl>
    <w:lvl w:ilvl="6" w:tplc="088C5052" w:tentative="1">
      <w:start w:val="1"/>
      <w:numFmt w:val="decimal"/>
      <w:lvlText w:val="%7."/>
      <w:lvlJc w:val="left"/>
      <w:pPr>
        <w:ind w:left="5531" w:hanging="360"/>
      </w:pPr>
    </w:lvl>
    <w:lvl w:ilvl="7" w:tplc="D624AFD6" w:tentative="1">
      <w:start w:val="1"/>
      <w:numFmt w:val="lowerLetter"/>
      <w:lvlText w:val="%8."/>
      <w:lvlJc w:val="left"/>
      <w:pPr>
        <w:ind w:left="6251" w:hanging="360"/>
      </w:pPr>
    </w:lvl>
    <w:lvl w:ilvl="8" w:tplc="588A3F9E" w:tentative="1">
      <w:start w:val="1"/>
      <w:numFmt w:val="lowerRoman"/>
      <w:lvlText w:val="%9."/>
      <w:lvlJc w:val="right"/>
      <w:pPr>
        <w:ind w:left="6971" w:hanging="180"/>
      </w:pPr>
    </w:lvl>
  </w:abstractNum>
  <w:abstractNum w:abstractNumId="22">
    <w:nsid w:val="69B348C1"/>
    <w:multiLevelType w:val="hybridMultilevel"/>
    <w:tmpl w:val="4E34B79C"/>
    <w:lvl w:ilvl="0" w:tplc="B42EBDCC">
      <w:start w:val="1"/>
      <w:numFmt w:val="decimal"/>
      <w:lvlText w:val="%1)"/>
      <w:lvlJc w:val="left"/>
      <w:pPr>
        <w:ind w:left="1211" w:hanging="360"/>
      </w:pPr>
      <w:rPr>
        <w:rFonts w:hint="default"/>
      </w:rPr>
    </w:lvl>
    <w:lvl w:ilvl="1" w:tplc="CF4AD7FE" w:tentative="1">
      <w:start w:val="1"/>
      <w:numFmt w:val="lowerLetter"/>
      <w:lvlText w:val="%2."/>
      <w:lvlJc w:val="left"/>
      <w:pPr>
        <w:ind w:left="1931" w:hanging="360"/>
      </w:pPr>
    </w:lvl>
    <w:lvl w:ilvl="2" w:tplc="AA0E5F1A" w:tentative="1">
      <w:start w:val="1"/>
      <w:numFmt w:val="lowerRoman"/>
      <w:lvlText w:val="%3."/>
      <w:lvlJc w:val="right"/>
      <w:pPr>
        <w:ind w:left="2651" w:hanging="180"/>
      </w:pPr>
    </w:lvl>
    <w:lvl w:ilvl="3" w:tplc="BF38728E" w:tentative="1">
      <w:start w:val="1"/>
      <w:numFmt w:val="decimal"/>
      <w:lvlText w:val="%4."/>
      <w:lvlJc w:val="left"/>
      <w:pPr>
        <w:ind w:left="3371" w:hanging="360"/>
      </w:pPr>
    </w:lvl>
    <w:lvl w:ilvl="4" w:tplc="0D5AACAC" w:tentative="1">
      <w:start w:val="1"/>
      <w:numFmt w:val="lowerLetter"/>
      <w:lvlText w:val="%5."/>
      <w:lvlJc w:val="left"/>
      <w:pPr>
        <w:ind w:left="4091" w:hanging="360"/>
      </w:pPr>
    </w:lvl>
    <w:lvl w:ilvl="5" w:tplc="EC08B2FA" w:tentative="1">
      <w:start w:val="1"/>
      <w:numFmt w:val="lowerRoman"/>
      <w:lvlText w:val="%6."/>
      <w:lvlJc w:val="right"/>
      <w:pPr>
        <w:ind w:left="4811" w:hanging="180"/>
      </w:pPr>
    </w:lvl>
    <w:lvl w:ilvl="6" w:tplc="CADC00A8" w:tentative="1">
      <w:start w:val="1"/>
      <w:numFmt w:val="decimal"/>
      <w:lvlText w:val="%7."/>
      <w:lvlJc w:val="left"/>
      <w:pPr>
        <w:ind w:left="5531" w:hanging="360"/>
      </w:pPr>
    </w:lvl>
    <w:lvl w:ilvl="7" w:tplc="67A0F838" w:tentative="1">
      <w:start w:val="1"/>
      <w:numFmt w:val="lowerLetter"/>
      <w:lvlText w:val="%8."/>
      <w:lvlJc w:val="left"/>
      <w:pPr>
        <w:ind w:left="6251" w:hanging="360"/>
      </w:pPr>
    </w:lvl>
    <w:lvl w:ilvl="8" w:tplc="2B2A4B06" w:tentative="1">
      <w:start w:val="1"/>
      <w:numFmt w:val="lowerRoman"/>
      <w:lvlText w:val="%9."/>
      <w:lvlJc w:val="right"/>
      <w:pPr>
        <w:ind w:left="6971" w:hanging="180"/>
      </w:pPr>
    </w:lvl>
  </w:abstractNum>
  <w:abstractNum w:abstractNumId="23">
    <w:nsid w:val="6CE72B3C"/>
    <w:multiLevelType w:val="hybridMultilevel"/>
    <w:tmpl w:val="A4C0DBD4"/>
    <w:lvl w:ilvl="0" w:tplc="AB9864B8">
      <w:start w:val="1"/>
      <w:numFmt w:val="decimal"/>
      <w:lvlText w:val="%1."/>
      <w:lvlJc w:val="left"/>
      <w:pPr>
        <w:ind w:left="1069" w:hanging="360"/>
      </w:pPr>
      <w:rPr>
        <w:rFonts w:hint="default"/>
      </w:rPr>
    </w:lvl>
    <w:lvl w:ilvl="1" w:tplc="4EA46846" w:tentative="1">
      <w:start w:val="1"/>
      <w:numFmt w:val="lowerLetter"/>
      <w:lvlText w:val="%2."/>
      <w:lvlJc w:val="left"/>
      <w:pPr>
        <w:ind w:left="1789" w:hanging="360"/>
      </w:pPr>
    </w:lvl>
    <w:lvl w:ilvl="2" w:tplc="B8CAB628" w:tentative="1">
      <w:start w:val="1"/>
      <w:numFmt w:val="lowerRoman"/>
      <w:lvlText w:val="%3."/>
      <w:lvlJc w:val="right"/>
      <w:pPr>
        <w:ind w:left="2509" w:hanging="180"/>
      </w:pPr>
    </w:lvl>
    <w:lvl w:ilvl="3" w:tplc="C4D8398C" w:tentative="1">
      <w:start w:val="1"/>
      <w:numFmt w:val="decimal"/>
      <w:lvlText w:val="%4."/>
      <w:lvlJc w:val="left"/>
      <w:pPr>
        <w:ind w:left="3229" w:hanging="360"/>
      </w:pPr>
    </w:lvl>
    <w:lvl w:ilvl="4" w:tplc="3BF21400" w:tentative="1">
      <w:start w:val="1"/>
      <w:numFmt w:val="lowerLetter"/>
      <w:lvlText w:val="%5."/>
      <w:lvlJc w:val="left"/>
      <w:pPr>
        <w:ind w:left="3949" w:hanging="360"/>
      </w:pPr>
    </w:lvl>
    <w:lvl w:ilvl="5" w:tplc="9DE24DAA" w:tentative="1">
      <w:start w:val="1"/>
      <w:numFmt w:val="lowerRoman"/>
      <w:lvlText w:val="%6."/>
      <w:lvlJc w:val="right"/>
      <w:pPr>
        <w:ind w:left="4669" w:hanging="180"/>
      </w:pPr>
    </w:lvl>
    <w:lvl w:ilvl="6" w:tplc="C2DE758A" w:tentative="1">
      <w:start w:val="1"/>
      <w:numFmt w:val="decimal"/>
      <w:lvlText w:val="%7."/>
      <w:lvlJc w:val="left"/>
      <w:pPr>
        <w:ind w:left="5389" w:hanging="360"/>
      </w:pPr>
    </w:lvl>
    <w:lvl w:ilvl="7" w:tplc="8BC237D8" w:tentative="1">
      <w:start w:val="1"/>
      <w:numFmt w:val="lowerLetter"/>
      <w:lvlText w:val="%8."/>
      <w:lvlJc w:val="left"/>
      <w:pPr>
        <w:ind w:left="6109" w:hanging="360"/>
      </w:pPr>
    </w:lvl>
    <w:lvl w:ilvl="8" w:tplc="BC049340" w:tentative="1">
      <w:start w:val="1"/>
      <w:numFmt w:val="lowerRoman"/>
      <w:lvlText w:val="%9."/>
      <w:lvlJc w:val="right"/>
      <w:pPr>
        <w:ind w:left="6829" w:hanging="180"/>
      </w:pPr>
    </w:lvl>
  </w:abstractNum>
  <w:abstractNum w:abstractNumId="24">
    <w:nsid w:val="7A945E58"/>
    <w:multiLevelType w:val="hybridMultilevel"/>
    <w:tmpl w:val="7BD07C86"/>
    <w:lvl w:ilvl="0" w:tplc="C2801DEE">
      <w:start w:val="1"/>
      <w:numFmt w:val="lowerLetter"/>
      <w:lvlText w:val="(%1)"/>
      <w:lvlJc w:val="left"/>
      <w:pPr>
        <w:ind w:left="690" w:hanging="690"/>
      </w:pPr>
      <w:rPr>
        <w:rFonts w:hint="default"/>
      </w:rPr>
    </w:lvl>
    <w:lvl w:ilvl="1" w:tplc="A6DE1A82" w:tentative="1">
      <w:start w:val="1"/>
      <w:numFmt w:val="lowerLetter"/>
      <w:lvlText w:val="%2."/>
      <w:lvlJc w:val="left"/>
      <w:pPr>
        <w:ind w:left="1080" w:hanging="360"/>
      </w:pPr>
    </w:lvl>
    <w:lvl w:ilvl="2" w:tplc="3788E838" w:tentative="1">
      <w:start w:val="1"/>
      <w:numFmt w:val="lowerRoman"/>
      <w:lvlText w:val="%3."/>
      <w:lvlJc w:val="right"/>
      <w:pPr>
        <w:ind w:left="1800" w:hanging="180"/>
      </w:pPr>
    </w:lvl>
    <w:lvl w:ilvl="3" w:tplc="4CC210D2" w:tentative="1">
      <w:start w:val="1"/>
      <w:numFmt w:val="decimal"/>
      <w:lvlText w:val="%4."/>
      <w:lvlJc w:val="left"/>
      <w:pPr>
        <w:ind w:left="2520" w:hanging="360"/>
      </w:pPr>
    </w:lvl>
    <w:lvl w:ilvl="4" w:tplc="89C4AA80" w:tentative="1">
      <w:start w:val="1"/>
      <w:numFmt w:val="lowerLetter"/>
      <w:lvlText w:val="%5."/>
      <w:lvlJc w:val="left"/>
      <w:pPr>
        <w:ind w:left="3240" w:hanging="360"/>
      </w:pPr>
    </w:lvl>
    <w:lvl w:ilvl="5" w:tplc="90D22ED6" w:tentative="1">
      <w:start w:val="1"/>
      <w:numFmt w:val="lowerRoman"/>
      <w:lvlText w:val="%6."/>
      <w:lvlJc w:val="right"/>
      <w:pPr>
        <w:ind w:left="3960" w:hanging="180"/>
      </w:pPr>
    </w:lvl>
    <w:lvl w:ilvl="6" w:tplc="123AAB44" w:tentative="1">
      <w:start w:val="1"/>
      <w:numFmt w:val="decimal"/>
      <w:lvlText w:val="%7."/>
      <w:lvlJc w:val="left"/>
      <w:pPr>
        <w:ind w:left="4680" w:hanging="360"/>
      </w:pPr>
    </w:lvl>
    <w:lvl w:ilvl="7" w:tplc="EA3C8A78" w:tentative="1">
      <w:start w:val="1"/>
      <w:numFmt w:val="lowerLetter"/>
      <w:lvlText w:val="%8."/>
      <w:lvlJc w:val="left"/>
      <w:pPr>
        <w:ind w:left="5400" w:hanging="360"/>
      </w:pPr>
    </w:lvl>
    <w:lvl w:ilvl="8" w:tplc="99EECC8A" w:tentative="1">
      <w:start w:val="1"/>
      <w:numFmt w:val="lowerRoman"/>
      <w:lvlText w:val="%9."/>
      <w:lvlJc w:val="right"/>
      <w:pPr>
        <w:ind w:left="6120" w:hanging="180"/>
      </w:pPr>
    </w:lvl>
  </w:abstractNum>
  <w:abstractNum w:abstractNumId="25">
    <w:nsid w:val="7DC41FC6"/>
    <w:multiLevelType w:val="hybridMultilevel"/>
    <w:tmpl w:val="5E08B388"/>
    <w:lvl w:ilvl="0" w:tplc="B7B419A4">
      <w:start w:val="1"/>
      <w:numFmt w:val="decimal"/>
      <w:lvlText w:val="%1."/>
      <w:lvlJc w:val="left"/>
      <w:pPr>
        <w:ind w:left="1117" w:hanging="360"/>
      </w:pPr>
    </w:lvl>
    <w:lvl w:ilvl="1" w:tplc="329609C6" w:tentative="1">
      <w:start w:val="1"/>
      <w:numFmt w:val="lowerLetter"/>
      <w:lvlText w:val="%2."/>
      <w:lvlJc w:val="left"/>
      <w:pPr>
        <w:ind w:left="1837" w:hanging="360"/>
      </w:pPr>
    </w:lvl>
    <w:lvl w:ilvl="2" w:tplc="2F9CD0D4" w:tentative="1">
      <w:start w:val="1"/>
      <w:numFmt w:val="lowerRoman"/>
      <w:lvlText w:val="%3."/>
      <w:lvlJc w:val="right"/>
      <w:pPr>
        <w:ind w:left="2557" w:hanging="180"/>
      </w:pPr>
    </w:lvl>
    <w:lvl w:ilvl="3" w:tplc="DED668E2" w:tentative="1">
      <w:start w:val="1"/>
      <w:numFmt w:val="decimal"/>
      <w:lvlText w:val="%4."/>
      <w:lvlJc w:val="left"/>
      <w:pPr>
        <w:ind w:left="3277" w:hanging="360"/>
      </w:pPr>
    </w:lvl>
    <w:lvl w:ilvl="4" w:tplc="422CEDF6" w:tentative="1">
      <w:start w:val="1"/>
      <w:numFmt w:val="lowerLetter"/>
      <w:lvlText w:val="%5."/>
      <w:lvlJc w:val="left"/>
      <w:pPr>
        <w:ind w:left="3997" w:hanging="360"/>
      </w:pPr>
    </w:lvl>
    <w:lvl w:ilvl="5" w:tplc="7E8C31BC" w:tentative="1">
      <w:start w:val="1"/>
      <w:numFmt w:val="lowerRoman"/>
      <w:lvlText w:val="%6."/>
      <w:lvlJc w:val="right"/>
      <w:pPr>
        <w:ind w:left="4717" w:hanging="180"/>
      </w:pPr>
    </w:lvl>
    <w:lvl w:ilvl="6" w:tplc="67B87B86" w:tentative="1">
      <w:start w:val="1"/>
      <w:numFmt w:val="decimal"/>
      <w:lvlText w:val="%7."/>
      <w:lvlJc w:val="left"/>
      <w:pPr>
        <w:ind w:left="5437" w:hanging="360"/>
      </w:pPr>
    </w:lvl>
    <w:lvl w:ilvl="7" w:tplc="541AED2C" w:tentative="1">
      <w:start w:val="1"/>
      <w:numFmt w:val="lowerLetter"/>
      <w:lvlText w:val="%8."/>
      <w:lvlJc w:val="left"/>
      <w:pPr>
        <w:ind w:left="6157" w:hanging="360"/>
      </w:pPr>
    </w:lvl>
    <w:lvl w:ilvl="8" w:tplc="47BA1654" w:tentative="1">
      <w:start w:val="1"/>
      <w:numFmt w:val="lowerRoman"/>
      <w:lvlText w:val="%9."/>
      <w:lvlJc w:val="right"/>
      <w:pPr>
        <w:ind w:left="6877" w:hanging="180"/>
      </w:pPr>
    </w:lvl>
  </w:abstractNum>
  <w:abstractNum w:abstractNumId="26">
    <w:nsid w:val="7F0F3BE6"/>
    <w:multiLevelType w:val="hybridMultilevel"/>
    <w:tmpl w:val="57CEFFA8"/>
    <w:lvl w:ilvl="0" w:tplc="C840E632">
      <w:start w:val="1"/>
      <w:numFmt w:val="lowerLetter"/>
      <w:lvlText w:val="%1)"/>
      <w:lvlJc w:val="left"/>
      <w:pPr>
        <w:ind w:left="720" w:hanging="360"/>
      </w:pPr>
      <w:rPr>
        <w:rFonts w:hint="default"/>
      </w:rPr>
    </w:lvl>
    <w:lvl w:ilvl="1" w:tplc="A87C3F78" w:tentative="1">
      <w:start w:val="1"/>
      <w:numFmt w:val="lowerLetter"/>
      <w:lvlText w:val="%2."/>
      <w:lvlJc w:val="left"/>
      <w:pPr>
        <w:ind w:left="1440" w:hanging="360"/>
      </w:pPr>
    </w:lvl>
    <w:lvl w:ilvl="2" w:tplc="4E8471C0" w:tentative="1">
      <w:start w:val="1"/>
      <w:numFmt w:val="lowerRoman"/>
      <w:lvlText w:val="%3."/>
      <w:lvlJc w:val="right"/>
      <w:pPr>
        <w:ind w:left="2160" w:hanging="180"/>
      </w:pPr>
    </w:lvl>
    <w:lvl w:ilvl="3" w:tplc="2D8E25A0" w:tentative="1">
      <w:start w:val="1"/>
      <w:numFmt w:val="decimal"/>
      <w:lvlText w:val="%4."/>
      <w:lvlJc w:val="left"/>
      <w:pPr>
        <w:ind w:left="2880" w:hanging="360"/>
      </w:pPr>
    </w:lvl>
    <w:lvl w:ilvl="4" w:tplc="C6842AC0" w:tentative="1">
      <w:start w:val="1"/>
      <w:numFmt w:val="lowerLetter"/>
      <w:lvlText w:val="%5."/>
      <w:lvlJc w:val="left"/>
      <w:pPr>
        <w:ind w:left="3600" w:hanging="360"/>
      </w:pPr>
    </w:lvl>
    <w:lvl w:ilvl="5" w:tplc="9636063C" w:tentative="1">
      <w:start w:val="1"/>
      <w:numFmt w:val="lowerRoman"/>
      <w:lvlText w:val="%6."/>
      <w:lvlJc w:val="right"/>
      <w:pPr>
        <w:ind w:left="4320" w:hanging="180"/>
      </w:pPr>
    </w:lvl>
    <w:lvl w:ilvl="6" w:tplc="6E8423EE" w:tentative="1">
      <w:start w:val="1"/>
      <w:numFmt w:val="decimal"/>
      <w:lvlText w:val="%7."/>
      <w:lvlJc w:val="left"/>
      <w:pPr>
        <w:ind w:left="5040" w:hanging="360"/>
      </w:pPr>
    </w:lvl>
    <w:lvl w:ilvl="7" w:tplc="CB9A731E" w:tentative="1">
      <w:start w:val="1"/>
      <w:numFmt w:val="lowerLetter"/>
      <w:lvlText w:val="%8."/>
      <w:lvlJc w:val="left"/>
      <w:pPr>
        <w:ind w:left="5760" w:hanging="360"/>
      </w:pPr>
    </w:lvl>
    <w:lvl w:ilvl="8" w:tplc="E53E00CA"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10"/>
  </w:num>
  <w:num w:numId="5">
    <w:abstractNumId w:val="13"/>
  </w:num>
  <w:num w:numId="6">
    <w:abstractNumId w:val="25"/>
  </w:num>
  <w:num w:numId="7">
    <w:abstractNumId w:val="24"/>
  </w:num>
  <w:num w:numId="8">
    <w:abstractNumId w:val="11"/>
  </w:num>
  <w:num w:numId="9">
    <w:abstractNumId w:val="22"/>
  </w:num>
  <w:num w:numId="10">
    <w:abstractNumId w:val="21"/>
  </w:num>
  <w:num w:numId="11">
    <w:abstractNumId w:val="12"/>
  </w:num>
  <w:num w:numId="12">
    <w:abstractNumId w:val="9"/>
  </w:num>
  <w:num w:numId="13">
    <w:abstractNumId w:val="15"/>
  </w:num>
  <w:num w:numId="14">
    <w:abstractNumId w:val="4"/>
  </w:num>
  <w:num w:numId="15">
    <w:abstractNumId w:val="14"/>
  </w:num>
  <w:num w:numId="16">
    <w:abstractNumId w:val="16"/>
  </w:num>
  <w:num w:numId="17">
    <w:abstractNumId w:val="23"/>
  </w:num>
  <w:num w:numId="18">
    <w:abstractNumId w:val="7"/>
  </w:num>
  <w:num w:numId="19">
    <w:abstractNumId w:val="19"/>
  </w:num>
  <w:num w:numId="20">
    <w:abstractNumId w:val="6"/>
  </w:num>
  <w:num w:numId="21">
    <w:abstractNumId w:val="20"/>
  </w:num>
  <w:num w:numId="22">
    <w:abstractNumId w:val="17"/>
  </w:num>
  <w:num w:numId="23">
    <w:abstractNumId w:val="26"/>
  </w:num>
  <w:num w:numId="24">
    <w:abstractNumId w:val="3"/>
  </w:num>
  <w:num w:numId="25">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Book Antiqua&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esrrszvjrfdfje0fzlve0dlvapxpdxf9dp0&quot;&gt;FInancial Wellbeing&lt;record-ids&gt;&lt;item&gt;18&lt;/item&gt;&lt;item&gt;22&lt;/item&gt;&lt;item&gt;45&lt;/item&gt;&lt;item&gt;86&lt;/item&gt;&lt;item&gt;154&lt;/item&gt;&lt;/record-ids&gt;&lt;/item&gt;&lt;/Libraries&gt;"/>
  </w:docVars>
  <w:rsids>
    <w:rsidRoot w:val="00117232"/>
    <w:rsid w:val="00000918"/>
    <w:rsid w:val="00005861"/>
    <w:rsid w:val="00005ECB"/>
    <w:rsid w:val="0001056D"/>
    <w:rsid w:val="000143FC"/>
    <w:rsid w:val="000152FC"/>
    <w:rsid w:val="00017BE6"/>
    <w:rsid w:val="00021103"/>
    <w:rsid w:val="00021DC6"/>
    <w:rsid w:val="00025D63"/>
    <w:rsid w:val="00027EF1"/>
    <w:rsid w:val="0003450E"/>
    <w:rsid w:val="0004105F"/>
    <w:rsid w:val="00041CFD"/>
    <w:rsid w:val="00042AC7"/>
    <w:rsid w:val="00043C05"/>
    <w:rsid w:val="00046F4A"/>
    <w:rsid w:val="00047786"/>
    <w:rsid w:val="00050FC6"/>
    <w:rsid w:val="00051C4F"/>
    <w:rsid w:val="00052F0E"/>
    <w:rsid w:val="000543F1"/>
    <w:rsid w:val="00056250"/>
    <w:rsid w:val="00060047"/>
    <w:rsid w:val="0007067A"/>
    <w:rsid w:val="00073995"/>
    <w:rsid w:val="000747C8"/>
    <w:rsid w:val="00074E0C"/>
    <w:rsid w:val="00077697"/>
    <w:rsid w:val="00083148"/>
    <w:rsid w:val="000832E5"/>
    <w:rsid w:val="00093425"/>
    <w:rsid w:val="00095519"/>
    <w:rsid w:val="0009667A"/>
    <w:rsid w:val="000A03B7"/>
    <w:rsid w:val="000A576A"/>
    <w:rsid w:val="000A6222"/>
    <w:rsid w:val="000B0B83"/>
    <w:rsid w:val="000B31FC"/>
    <w:rsid w:val="000B3260"/>
    <w:rsid w:val="000B3435"/>
    <w:rsid w:val="000B3679"/>
    <w:rsid w:val="000B46C3"/>
    <w:rsid w:val="000B54A0"/>
    <w:rsid w:val="000B5866"/>
    <w:rsid w:val="000D00E8"/>
    <w:rsid w:val="000D014A"/>
    <w:rsid w:val="000D4145"/>
    <w:rsid w:val="000D4D0C"/>
    <w:rsid w:val="000D7B1B"/>
    <w:rsid w:val="000F1ED5"/>
    <w:rsid w:val="000F41A2"/>
    <w:rsid w:val="001001B7"/>
    <w:rsid w:val="001008DB"/>
    <w:rsid w:val="00100938"/>
    <w:rsid w:val="00106022"/>
    <w:rsid w:val="001133B8"/>
    <w:rsid w:val="0011356A"/>
    <w:rsid w:val="001147A2"/>
    <w:rsid w:val="00115E7B"/>
    <w:rsid w:val="00117232"/>
    <w:rsid w:val="00121294"/>
    <w:rsid w:val="00125AB4"/>
    <w:rsid w:val="00125DAC"/>
    <w:rsid w:val="00125DDB"/>
    <w:rsid w:val="00135302"/>
    <w:rsid w:val="00136087"/>
    <w:rsid w:val="00140AB1"/>
    <w:rsid w:val="00141B63"/>
    <w:rsid w:val="001431DA"/>
    <w:rsid w:val="001460FE"/>
    <w:rsid w:val="001472EE"/>
    <w:rsid w:val="00156E92"/>
    <w:rsid w:val="0016051E"/>
    <w:rsid w:val="00160EF1"/>
    <w:rsid w:val="0016314D"/>
    <w:rsid w:val="00165602"/>
    <w:rsid w:val="0016601D"/>
    <w:rsid w:val="00176623"/>
    <w:rsid w:val="0018271E"/>
    <w:rsid w:val="00185878"/>
    <w:rsid w:val="00191FB3"/>
    <w:rsid w:val="001959CA"/>
    <w:rsid w:val="001A1EFE"/>
    <w:rsid w:val="001A3E49"/>
    <w:rsid w:val="001B252D"/>
    <w:rsid w:val="001B29CB"/>
    <w:rsid w:val="001B4963"/>
    <w:rsid w:val="001B5CA7"/>
    <w:rsid w:val="001C3CAD"/>
    <w:rsid w:val="001C690E"/>
    <w:rsid w:val="001D2DCA"/>
    <w:rsid w:val="001D58FC"/>
    <w:rsid w:val="001D61BB"/>
    <w:rsid w:val="001E0440"/>
    <w:rsid w:val="001E14A1"/>
    <w:rsid w:val="001E2FB2"/>
    <w:rsid w:val="001E45D6"/>
    <w:rsid w:val="001E6020"/>
    <w:rsid w:val="001E6114"/>
    <w:rsid w:val="001E742C"/>
    <w:rsid w:val="001F0282"/>
    <w:rsid w:val="00201D21"/>
    <w:rsid w:val="002071B3"/>
    <w:rsid w:val="00210126"/>
    <w:rsid w:val="00213B74"/>
    <w:rsid w:val="00213B93"/>
    <w:rsid w:val="00214607"/>
    <w:rsid w:val="00221131"/>
    <w:rsid w:val="00221FF5"/>
    <w:rsid w:val="0022587E"/>
    <w:rsid w:val="00227276"/>
    <w:rsid w:val="00227876"/>
    <w:rsid w:val="00232F36"/>
    <w:rsid w:val="002357DF"/>
    <w:rsid w:val="0023796C"/>
    <w:rsid w:val="00240D33"/>
    <w:rsid w:val="00240EB0"/>
    <w:rsid w:val="00242BEC"/>
    <w:rsid w:val="00243C66"/>
    <w:rsid w:val="00244639"/>
    <w:rsid w:val="002466D6"/>
    <w:rsid w:val="00246DA7"/>
    <w:rsid w:val="00251D7E"/>
    <w:rsid w:val="00252AB2"/>
    <w:rsid w:val="00256EEC"/>
    <w:rsid w:val="00257A17"/>
    <w:rsid w:val="00261D66"/>
    <w:rsid w:val="00262F32"/>
    <w:rsid w:val="00265A28"/>
    <w:rsid w:val="00280616"/>
    <w:rsid w:val="00284444"/>
    <w:rsid w:val="00286E16"/>
    <w:rsid w:val="002925A4"/>
    <w:rsid w:val="002929A4"/>
    <w:rsid w:val="00292DA8"/>
    <w:rsid w:val="00294ED4"/>
    <w:rsid w:val="00296E7D"/>
    <w:rsid w:val="002976BE"/>
    <w:rsid w:val="002A37CD"/>
    <w:rsid w:val="002A42E0"/>
    <w:rsid w:val="002B2B06"/>
    <w:rsid w:val="002B4317"/>
    <w:rsid w:val="002B7538"/>
    <w:rsid w:val="002C07FB"/>
    <w:rsid w:val="002C5FEE"/>
    <w:rsid w:val="002C7997"/>
    <w:rsid w:val="002D2575"/>
    <w:rsid w:val="002D35B8"/>
    <w:rsid w:val="002D7FA8"/>
    <w:rsid w:val="002E0651"/>
    <w:rsid w:val="002E1DF1"/>
    <w:rsid w:val="002E1FC6"/>
    <w:rsid w:val="002E59AE"/>
    <w:rsid w:val="002E66C1"/>
    <w:rsid w:val="002E7DFA"/>
    <w:rsid w:val="002F0A60"/>
    <w:rsid w:val="002F2D80"/>
    <w:rsid w:val="002F6FE1"/>
    <w:rsid w:val="003003D2"/>
    <w:rsid w:val="00300E53"/>
    <w:rsid w:val="0030479C"/>
    <w:rsid w:val="00305D06"/>
    <w:rsid w:val="00306A5E"/>
    <w:rsid w:val="0031380B"/>
    <w:rsid w:val="00332BF0"/>
    <w:rsid w:val="0033734E"/>
    <w:rsid w:val="00340651"/>
    <w:rsid w:val="003419A2"/>
    <w:rsid w:val="003458FF"/>
    <w:rsid w:val="003504B3"/>
    <w:rsid w:val="003507E1"/>
    <w:rsid w:val="0035197C"/>
    <w:rsid w:val="00363ED4"/>
    <w:rsid w:val="0036435E"/>
    <w:rsid w:val="00367887"/>
    <w:rsid w:val="00374CE0"/>
    <w:rsid w:val="00375A06"/>
    <w:rsid w:val="00376753"/>
    <w:rsid w:val="00377DC6"/>
    <w:rsid w:val="00390363"/>
    <w:rsid w:val="003928B5"/>
    <w:rsid w:val="003940AE"/>
    <w:rsid w:val="00395B82"/>
    <w:rsid w:val="003A40F4"/>
    <w:rsid w:val="003A73FA"/>
    <w:rsid w:val="003A7931"/>
    <w:rsid w:val="003B056D"/>
    <w:rsid w:val="003B1912"/>
    <w:rsid w:val="003B79D6"/>
    <w:rsid w:val="003C7883"/>
    <w:rsid w:val="003D4150"/>
    <w:rsid w:val="003D51CD"/>
    <w:rsid w:val="003E4DB6"/>
    <w:rsid w:val="003E68EB"/>
    <w:rsid w:val="003E7ED7"/>
    <w:rsid w:val="003F4F6E"/>
    <w:rsid w:val="003F73DC"/>
    <w:rsid w:val="004016BE"/>
    <w:rsid w:val="004058F5"/>
    <w:rsid w:val="0040619E"/>
    <w:rsid w:val="00407D58"/>
    <w:rsid w:val="0041335E"/>
    <w:rsid w:val="0041408C"/>
    <w:rsid w:val="00416192"/>
    <w:rsid w:val="00416DDA"/>
    <w:rsid w:val="004201DD"/>
    <w:rsid w:val="00423A30"/>
    <w:rsid w:val="004310EE"/>
    <w:rsid w:val="00433926"/>
    <w:rsid w:val="00433E9A"/>
    <w:rsid w:val="00434013"/>
    <w:rsid w:val="00434D81"/>
    <w:rsid w:val="00437C93"/>
    <w:rsid w:val="00442304"/>
    <w:rsid w:val="00442E6A"/>
    <w:rsid w:val="00443EB7"/>
    <w:rsid w:val="004471DC"/>
    <w:rsid w:val="00447D71"/>
    <w:rsid w:val="00450231"/>
    <w:rsid w:val="00451ABF"/>
    <w:rsid w:val="004535C0"/>
    <w:rsid w:val="00460846"/>
    <w:rsid w:val="00460D81"/>
    <w:rsid w:val="00464DED"/>
    <w:rsid w:val="00473A0B"/>
    <w:rsid w:val="00476184"/>
    <w:rsid w:val="004764DB"/>
    <w:rsid w:val="00476B8F"/>
    <w:rsid w:val="0048306B"/>
    <w:rsid w:val="0048309C"/>
    <w:rsid w:val="00483461"/>
    <w:rsid w:val="00483F03"/>
    <w:rsid w:val="00486444"/>
    <w:rsid w:val="00490C39"/>
    <w:rsid w:val="00491651"/>
    <w:rsid w:val="00492CF7"/>
    <w:rsid w:val="00497837"/>
    <w:rsid w:val="004A2968"/>
    <w:rsid w:val="004A4EB6"/>
    <w:rsid w:val="004A695F"/>
    <w:rsid w:val="004C102F"/>
    <w:rsid w:val="004C676B"/>
    <w:rsid w:val="004D19A0"/>
    <w:rsid w:val="004D2081"/>
    <w:rsid w:val="004D251E"/>
    <w:rsid w:val="004D4BAF"/>
    <w:rsid w:val="004D4CE2"/>
    <w:rsid w:val="004D5609"/>
    <w:rsid w:val="004E23F1"/>
    <w:rsid w:val="004E2867"/>
    <w:rsid w:val="004E6CCA"/>
    <w:rsid w:val="004F08C5"/>
    <w:rsid w:val="004F0E1E"/>
    <w:rsid w:val="004F0FAC"/>
    <w:rsid w:val="004F3EB2"/>
    <w:rsid w:val="004F6ECF"/>
    <w:rsid w:val="004F709D"/>
    <w:rsid w:val="005011A6"/>
    <w:rsid w:val="00501F0B"/>
    <w:rsid w:val="005029F1"/>
    <w:rsid w:val="00505179"/>
    <w:rsid w:val="00507D9D"/>
    <w:rsid w:val="00507EA8"/>
    <w:rsid w:val="00510649"/>
    <w:rsid w:val="00511A21"/>
    <w:rsid w:val="00514496"/>
    <w:rsid w:val="00515820"/>
    <w:rsid w:val="005173B3"/>
    <w:rsid w:val="00521718"/>
    <w:rsid w:val="005306CC"/>
    <w:rsid w:val="00531A04"/>
    <w:rsid w:val="00533341"/>
    <w:rsid w:val="00533C6C"/>
    <w:rsid w:val="005407CE"/>
    <w:rsid w:val="00541687"/>
    <w:rsid w:val="00545281"/>
    <w:rsid w:val="005462B2"/>
    <w:rsid w:val="00546861"/>
    <w:rsid w:val="005473BB"/>
    <w:rsid w:val="0055188C"/>
    <w:rsid w:val="00551A6E"/>
    <w:rsid w:val="00552F26"/>
    <w:rsid w:val="00552F40"/>
    <w:rsid w:val="005564D4"/>
    <w:rsid w:val="00561D7D"/>
    <w:rsid w:val="005622FA"/>
    <w:rsid w:val="00565F86"/>
    <w:rsid w:val="005670DF"/>
    <w:rsid w:val="00570BA4"/>
    <w:rsid w:val="00572A44"/>
    <w:rsid w:val="005808E5"/>
    <w:rsid w:val="005851B3"/>
    <w:rsid w:val="00585FB7"/>
    <w:rsid w:val="00587B0D"/>
    <w:rsid w:val="00587E50"/>
    <w:rsid w:val="005929DD"/>
    <w:rsid w:val="00593A3E"/>
    <w:rsid w:val="005943A2"/>
    <w:rsid w:val="00596D73"/>
    <w:rsid w:val="00596EB2"/>
    <w:rsid w:val="00597487"/>
    <w:rsid w:val="005A414E"/>
    <w:rsid w:val="005A622E"/>
    <w:rsid w:val="005A6B7A"/>
    <w:rsid w:val="005B2DBC"/>
    <w:rsid w:val="005B490B"/>
    <w:rsid w:val="005B5ED9"/>
    <w:rsid w:val="005C0D93"/>
    <w:rsid w:val="005C33B0"/>
    <w:rsid w:val="005C36EB"/>
    <w:rsid w:val="005C37BD"/>
    <w:rsid w:val="005C5351"/>
    <w:rsid w:val="005C7D79"/>
    <w:rsid w:val="005D097E"/>
    <w:rsid w:val="005D1E45"/>
    <w:rsid w:val="005D2E67"/>
    <w:rsid w:val="005D2F27"/>
    <w:rsid w:val="005D38CB"/>
    <w:rsid w:val="005D74CF"/>
    <w:rsid w:val="005E10ED"/>
    <w:rsid w:val="005E6729"/>
    <w:rsid w:val="005F0BBB"/>
    <w:rsid w:val="005F20BA"/>
    <w:rsid w:val="005F4561"/>
    <w:rsid w:val="005F51F3"/>
    <w:rsid w:val="0060063C"/>
    <w:rsid w:val="00603798"/>
    <w:rsid w:val="00604713"/>
    <w:rsid w:val="006061D9"/>
    <w:rsid w:val="00606483"/>
    <w:rsid w:val="00606A8E"/>
    <w:rsid w:val="00607808"/>
    <w:rsid w:val="0061090C"/>
    <w:rsid w:val="00611D17"/>
    <w:rsid w:val="00613F61"/>
    <w:rsid w:val="006164F0"/>
    <w:rsid w:val="00620745"/>
    <w:rsid w:val="00625C76"/>
    <w:rsid w:val="00625FC7"/>
    <w:rsid w:val="0062679B"/>
    <w:rsid w:val="006314F7"/>
    <w:rsid w:val="00633BE3"/>
    <w:rsid w:val="00636834"/>
    <w:rsid w:val="0064005F"/>
    <w:rsid w:val="006405C6"/>
    <w:rsid w:val="00642586"/>
    <w:rsid w:val="006441A3"/>
    <w:rsid w:val="00645493"/>
    <w:rsid w:val="00645A50"/>
    <w:rsid w:val="00646E37"/>
    <w:rsid w:val="00646F0D"/>
    <w:rsid w:val="006471BA"/>
    <w:rsid w:val="0065240F"/>
    <w:rsid w:val="00661A06"/>
    <w:rsid w:val="00663AD2"/>
    <w:rsid w:val="00663D9F"/>
    <w:rsid w:val="00665D20"/>
    <w:rsid w:val="00677C28"/>
    <w:rsid w:val="00682AB0"/>
    <w:rsid w:val="006847E1"/>
    <w:rsid w:val="0068580D"/>
    <w:rsid w:val="00687370"/>
    <w:rsid w:val="00690FC5"/>
    <w:rsid w:val="006932A9"/>
    <w:rsid w:val="006946CD"/>
    <w:rsid w:val="00695234"/>
    <w:rsid w:val="006A0B9B"/>
    <w:rsid w:val="006A1D75"/>
    <w:rsid w:val="006A2650"/>
    <w:rsid w:val="006A3A0C"/>
    <w:rsid w:val="006A60DD"/>
    <w:rsid w:val="006A74AF"/>
    <w:rsid w:val="006B75E8"/>
    <w:rsid w:val="006B78C6"/>
    <w:rsid w:val="006C38C8"/>
    <w:rsid w:val="006C68B7"/>
    <w:rsid w:val="006D2188"/>
    <w:rsid w:val="006D423F"/>
    <w:rsid w:val="006D5B78"/>
    <w:rsid w:val="006D5B95"/>
    <w:rsid w:val="006D5D65"/>
    <w:rsid w:val="006D7423"/>
    <w:rsid w:val="006E1881"/>
    <w:rsid w:val="006E2353"/>
    <w:rsid w:val="006E2AF2"/>
    <w:rsid w:val="006E437B"/>
    <w:rsid w:val="006E6B8D"/>
    <w:rsid w:val="006F1C67"/>
    <w:rsid w:val="006F3F7B"/>
    <w:rsid w:val="006F56BD"/>
    <w:rsid w:val="006F5D8D"/>
    <w:rsid w:val="006F65F0"/>
    <w:rsid w:val="006F665B"/>
    <w:rsid w:val="00701E79"/>
    <w:rsid w:val="00706062"/>
    <w:rsid w:val="00706D08"/>
    <w:rsid w:val="00711D2C"/>
    <w:rsid w:val="0071213C"/>
    <w:rsid w:val="007178D1"/>
    <w:rsid w:val="0072209F"/>
    <w:rsid w:val="00722A15"/>
    <w:rsid w:val="00734FB8"/>
    <w:rsid w:val="00737095"/>
    <w:rsid w:val="00741B2E"/>
    <w:rsid w:val="00743AD4"/>
    <w:rsid w:val="00744A0C"/>
    <w:rsid w:val="007461AF"/>
    <w:rsid w:val="0074676E"/>
    <w:rsid w:val="0074686D"/>
    <w:rsid w:val="00752ABD"/>
    <w:rsid w:val="00753B3A"/>
    <w:rsid w:val="0075577D"/>
    <w:rsid w:val="00760B25"/>
    <w:rsid w:val="0076507E"/>
    <w:rsid w:val="0077184F"/>
    <w:rsid w:val="007766A0"/>
    <w:rsid w:val="00782E3A"/>
    <w:rsid w:val="00783FD8"/>
    <w:rsid w:val="00784852"/>
    <w:rsid w:val="00784EF9"/>
    <w:rsid w:val="00786227"/>
    <w:rsid w:val="00787A83"/>
    <w:rsid w:val="00791CF0"/>
    <w:rsid w:val="00793C46"/>
    <w:rsid w:val="00795CC6"/>
    <w:rsid w:val="007A493C"/>
    <w:rsid w:val="007B3A8E"/>
    <w:rsid w:val="007B6F90"/>
    <w:rsid w:val="007C1560"/>
    <w:rsid w:val="007C4CA7"/>
    <w:rsid w:val="007C57B2"/>
    <w:rsid w:val="007C5D36"/>
    <w:rsid w:val="007C667F"/>
    <w:rsid w:val="007C7EB8"/>
    <w:rsid w:val="007D0344"/>
    <w:rsid w:val="007D3A0B"/>
    <w:rsid w:val="007E1A4C"/>
    <w:rsid w:val="007E5FA2"/>
    <w:rsid w:val="007E741B"/>
    <w:rsid w:val="007E7B18"/>
    <w:rsid w:val="007E7CD3"/>
    <w:rsid w:val="007F11FF"/>
    <w:rsid w:val="007F13F1"/>
    <w:rsid w:val="007F2A52"/>
    <w:rsid w:val="007F3053"/>
    <w:rsid w:val="007F768C"/>
    <w:rsid w:val="008018A9"/>
    <w:rsid w:val="008024DD"/>
    <w:rsid w:val="00810FA2"/>
    <w:rsid w:val="00813820"/>
    <w:rsid w:val="0081662B"/>
    <w:rsid w:val="00817816"/>
    <w:rsid w:val="00822EEA"/>
    <w:rsid w:val="008248DA"/>
    <w:rsid w:val="00824FEF"/>
    <w:rsid w:val="008305CC"/>
    <w:rsid w:val="00831468"/>
    <w:rsid w:val="0083383A"/>
    <w:rsid w:val="00837A58"/>
    <w:rsid w:val="008437D5"/>
    <w:rsid w:val="00843B00"/>
    <w:rsid w:val="00843C38"/>
    <w:rsid w:val="0084458C"/>
    <w:rsid w:val="0084540C"/>
    <w:rsid w:val="00845563"/>
    <w:rsid w:val="00846816"/>
    <w:rsid w:val="008502A0"/>
    <w:rsid w:val="0085044A"/>
    <w:rsid w:val="00851403"/>
    <w:rsid w:val="00853F37"/>
    <w:rsid w:val="0086358E"/>
    <w:rsid w:val="0086464C"/>
    <w:rsid w:val="00864CCA"/>
    <w:rsid w:val="00866718"/>
    <w:rsid w:val="0087006A"/>
    <w:rsid w:val="008702D2"/>
    <w:rsid w:val="0087348A"/>
    <w:rsid w:val="00873F1F"/>
    <w:rsid w:val="00875446"/>
    <w:rsid w:val="00887524"/>
    <w:rsid w:val="00891382"/>
    <w:rsid w:val="00891AF7"/>
    <w:rsid w:val="00895FBF"/>
    <w:rsid w:val="00896B39"/>
    <w:rsid w:val="008A3972"/>
    <w:rsid w:val="008A60C1"/>
    <w:rsid w:val="008A6A88"/>
    <w:rsid w:val="008B03C1"/>
    <w:rsid w:val="008B0544"/>
    <w:rsid w:val="008C3DEF"/>
    <w:rsid w:val="008C75A5"/>
    <w:rsid w:val="008D176A"/>
    <w:rsid w:val="008D3DFD"/>
    <w:rsid w:val="008D665D"/>
    <w:rsid w:val="008E09C7"/>
    <w:rsid w:val="008E25F4"/>
    <w:rsid w:val="008E74C8"/>
    <w:rsid w:val="008F0936"/>
    <w:rsid w:val="008F3BBB"/>
    <w:rsid w:val="008F6439"/>
    <w:rsid w:val="00901EE6"/>
    <w:rsid w:val="0090289B"/>
    <w:rsid w:val="00903FA8"/>
    <w:rsid w:val="00907F98"/>
    <w:rsid w:val="009133DC"/>
    <w:rsid w:val="009175FF"/>
    <w:rsid w:val="009206EF"/>
    <w:rsid w:val="00920BEA"/>
    <w:rsid w:val="00924713"/>
    <w:rsid w:val="00927859"/>
    <w:rsid w:val="009340D1"/>
    <w:rsid w:val="009369C7"/>
    <w:rsid w:val="00941A81"/>
    <w:rsid w:val="00943AE3"/>
    <w:rsid w:val="0094610E"/>
    <w:rsid w:val="00947812"/>
    <w:rsid w:val="00947BA1"/>
    <w:rsid w:val="00951D50"/>
    <w:rsid w:val="00952CDF"/>
    <w:rsid w:val="00952F9A"/>
    <w:rsid w:val="00954293"/>
    <w:rsid w:val="009551F1"/>
    <w:rsid w:val="00955E29"/>
    <w:rsid w:val="00957979"/>
    <w:rsid w:val="00961B9E"/>
    <w:rsid w:val="00972AE3"/>
    <w:rsid w:val="00982873"/>
    <w:rsid w:val="00982C26"/>
    <w:rsid w:val="009939C4"/>
    <w:rsid w:val="00995BD4"/>
    <w:rsid w:val="00997B6E"/>
    <w:rsid w:val="00997C52"/>
    <w:rsid w:val="00997C85"/>
    <w:rsid w:val="009A40AB"/>
    <w:rsid w:val="009B073B"/>
    <w:rsid w:val="009B113A"/>
    <w:rsid w:val="009B2493"/>
    <w:rsid w:val="009B3173"/>
    <w:rsid w:val="009B3891"/>
    <w:rsid w:val="009B3C2F"/>
    <w:rsid w:val="009B43F6"/>
    <w:rsid w:val="009B510E"/>
    <w:rsid w:val="009C2585"/>
    <w:rsid w:val="009C408F"/>
    <w:rsid w:val="009C4E55"/>
    <w:rsid w:val="009D239F"/>
    <w:rsid w:val="009D24D0"/>
    <w:rsid w:val="009D3149"/>
    <w:rsid w:val="009D4A39"/>
    <w:rsid w:val="009D4FE8"/>
    <w:rsid w:val="009E1984"/>
    <w:rsid w:val="009E279B"/>
    <w:rsid w:val="009E4660"/>
    <w:rsid w:val="009E708E"/>
    <w:rsid w:val="009F09CC"/>
    <w:rsid w:val="009F10B4"/>
    <w:rsid w:val="00A0295B"/>
    <w:rsid w:val="00A043E3"/>
    <w:rsid w:val="00A0554E"/>
    <w:rsid w:val="00A114A3"/>
    <w:rsid w:val="00A11581"/>
    <w:rsid w:val="00A12280"/>
    <w:rsid w:val="00A137AC"/>
    <w:rsid w:val="00A146A3"/>
    <w:rsid w:val="00A15CBD"/>
    <w:rsid w:val="00A171C9"/>
    <w:rsid w:val="00A20E64"/>
    <w:rsid w:val="00A3334D"/>
    <w:rsid w:val="00A3441C"/>
    <w:rsid w:val="00A36A59"/>
    <w:rsid w:val="00A402A7"/>
    <w:rsid w:val="00A42FBB"/>
    <w:rsid w:val="00A45A18"/>
    <w:rsid w:val="00A45CFA"/>
    <w:rsid w:val="00A46E89"/>
    <w:rsid w:val="00A47A7E"/>
    <w:rsid w:val="00A50B7C"/>
    <w:rsid w:val="00A5549F"/>
    <w:rsid w:val="00A614F9"/>
    <w:rsid w:val="00A665F2"/>
    <w:rsid w:val="00A67616"/>
    <w:rsid w:val="00A727AD"/>
    <w:rsid w:val="00A74A41"/>
    <w:rsid w:val="00A77266"/>
    <w:rsid w:val="00A849C5"/>
    <w:rsid w:val="00A870D7"/>
    <w:rsid w:val="00A90335"/>
    <w:rsid w:val="00A908C4"/>
    <w:rsid w:val="00A9117A"/>
    <w:rsid w:val="00A91337"/>
    <w:rsid w:val="00A91E5C"/>
    <w:rsid w:val="00A91F0D"/>
    <w:rsid w:val="00A92417"/>
    <w:rsid w:val="00A942D0"/>
    <w:rsid w:val="00A95189"/>
    <w:rsid w:val="00A959A4"/>
    <w:rsid w:val="00A95AE1"/>
    <w:rsid w:val="00AA51A4"/>
    <w:rsid w:val="00AA6392"/>
    <w:rsid w:val="00AA774F"/>
    <w:rsid w:val="00AB6258"/>
    <w:rsid w:val="00AB6AB8"/>
    <w:rsid w:val="00AB73E9"/>
    <w:rsid w:val="00AC379A"/>
    <w:rsid w:val="00AC37CE"/>
    <w:rsid w:val="00AD018C"/>
    <w:rsid w:val="00AD0F6C"/>
    <w:rsid w:val="00AD1C8C"/>
    <w:rsid w:val="00AD269B"/>
    <w:rsid w:val="00AD2C38"/>
    <w:rsid w:val="00AD3093"/>
    <w:rsid w:val="00AE0429"/>
    <w:rsid w:val="00AE1C95"/>
    <w:rsid w:val="00AE3193"/>
    <w:rsid w:val="00AE43D2"/>
    <w:rsid w:val="00AE4EBB"/>
    <w:rsid w:val="00AE5D99"/>
    <w:rsid w:val="00AE6D45"/>
    <w:rsid w:val="00AF13B0"/>
    <w:rsid w:val="00AF499F"/>
    <w:rsid w:val="00AF5FC1"/>
    <w:rsid w:val="00B019BD"/>
    <w:rsid w:val="00B01DAB"/>
    <w:rsid w:val="00B02B11"/>
    <w:rsid w:val="00B11FEC"/>
    <w:rsid w:val="00B14E08"/>
    <w:rsid w:val="00B15B28"/>
    <w:rsid w:val="00B21E24"/>
    <w:rsid w:val="00B22E29"/>
    <w:rsid w:val="00B25E2D"/>
    <w:rsid w:val="00B31425"/>
    <w:rsid w:val="00B41A2B"/>
    <w:rsid w:val="00B41EAF"/>
    <w:rsid w:val="00B429D6"/>
    <w:rsid w:val="00B43EE4"/>
    <w:rsid w:val="00B511DD"/>
    <w:rsid w:val="00B515A6"/>
    <w:rsid w:val="00B535E1"/>
    <w:rsid w:val="00B60313"/>
    <w:rsid w:val="00B61C9D"/>
    <w:rsid w:val="00B641A9"/>
    <w:rsid w:val="00B6522E"/>
    <w:rsid w:val="00B656C9"/>
    <w:rsid w:val="00B65964"/>
    <w:rsid w:val="00B70CF2"/>
    <w:rsid w:val="00B7150E"/>
    <w:rsid w:val="00B72562"/>
    <w:rsid w:val="00B73041"/>
    <w:rsid w:val="00B74C73"/>
    <w:rsid w:val="00B831E8"/>
    <w:rsid w:val="00B848EA"/>
    <w:rsid w:val="00B876D9"/>
    <w:rsid w:val="00B87B0B"/>
    <w:rsid w:val="00B901A9"/>
    <w:rsid w:val="00BA44C0"/>
    <w:rsid w:val="00BA4A3B"/>
    <w:rsid w:val="00BB12EF"/>
    <w:rsid w:val="00BB49BD"/>
    <w:rsid w:val="00BB4F29"/>
    <w:rsid w:val="00BB5FFA"/>
    <w:rsid w:val="00BC3F5E"/>
    <w:rsid w:val="00BD102A"/>
    <w:rsid w:val="00BD151D"/>
    <w:rsid w:val="00BD1710"/>
    <w:rsid w:val="00BD464B"/>
    <w:rsid w:val="00BD49ED"/>
    <w:rsid w:val="00BD53F9"/>
    <w:rsid w:val="00BE177B"/>
    <w:rsid w:val="00BE27F4"/>
    <w:rsid w:val="00BF0091"/>
    <w:rsid w:val="00BF411D"/>
    <w:rsid w:val="00BF419E"/>
    <w:rsid w:val="00BF7409"/>
    <w:rsid w:val="00BF7A86"/>
    <w:rsid w:val="00C01E06"/>
    <w:rsid w:val="00C02271"/>
    <w:rsid w:val="00C04DCF"/>
    <w:rsid w:val="00C06639"/>
    <w:rsid w:val="00C110C8"/>
    <w:rsid w:val="00C1168B"/>
    <w:rsid w:val="00C20620"/>
    <w:rsid w:val="00C20DAF"/>
    <w:rsid w:val="00C2331D"/>
    <w:rsid w:val="00C24BC2"/>
    <w:rsid w:val="00C30AF1"/>
    <w:rsid w:val="00C31AEC"/>
    <w:rsid w:val="00C373BA"/>
    <w:rsid w:val="00C40E2B"/>
    <w:rsid w:val="00C43131"/>
    <w:rsid w:val="00C432D5"/>
    <w:rsid w:val="00C44385"/>
    <w:rsid w:val="00C44657"/>
    <w:rsid w:val="00C471A0"/>
    <w:rsid w:val="00C47306"/>
    <w:rsid w:val="00C4755C"/>
    <w:rsid w:val="00C479B5"/>
    <w:rsid w:val="00C51046"/>
    <w:rsid w:val="00C62CC8"/>
    <w:rsid w:val="00C63B35"/>
    <w:rsid w:val="00C646FD"/>
    <w:rsid w:val="00C72E83"/>
    <w:rsid w:val="00C7377D"/>
    <w:rsid w:val="00C80026"/>
    <w:rsid w:val="00C8067B"/>
    <w:rsid w:val="00C81B2F"/>
    <w:rsid w:val="00C828B9"/>
    <w:rsid w:val="00C84832"/>
    <w:rsid w:val="00C902A2"/>
    <w:rsid w:val="00C919AD"/>
    <w:rsid w:val="00C9238D"/>
    <w:rsid w:val="00C96368"/>
    <w:rsid w:val="00C9671C"/>
    <w:rsid w:val="00C97056"/>
    <w:rsid w:val="00C97A0B"/>
    <w:rsid w:val="00CA720E"/>
    <w:rsid w:val="00CB03ED"/>
    <w:rsid w:val="00CB3614"/>
    <w:rsid w:val="00CB6B3D"/>
    <w:rsid w:val="00CC069A"/>
    <w:rsid w:val="00CC1169"/>
    <w:rsid w:val="00CC147F"/>
    <w:rsid w:val="00CC66CA"/>
    <w:rsid w:val="00CD059D"/>
    <w:rsid w:val="00CD226A"/>
    <w:rsid w:val="00CD36E1"/>
    <w:rsid w:val="00CD41AB"/>
    <w:rsid w:val="00CD543C"/>
    <w:rsid w:val="00CD7E0F"/>
    <w:rsid w:val="00CD7E7A"/>
    <w:rsid w:val="00CE0458"/>
    <w:rsid w:val="00CE21E6"/>
    <w:rsid w:val="00CE45C3"/>
    <w:rsid w:val="00CE4BE0"/>
    <w:rsid w:val="00CE5BB0"/>
    <w:rsid w:val="00CE6282"/>
    <w:rsid w:val="00CE6F0E"/>
    <w:rsid w:val="00CE7E75"/>
    <w:rsid w:val="00CF0B5D"/>
    <w:rsid w:val="00CF177D"/>
    <w:rsid w:val="00CF258A"/>
    <w:rsid w:val="00CF53F8"/>
    <w:rsid w:val="00D0099D"/>
    <w:rsid w:val="00D03B3F"/>
    <w:rsid w:val="00D04BFD"/>
    <w:rsid w:val="00D101E2"/>
    <w:rsid w:val="00D10670"/>
    <w:rsid w:val="00D119C9"/>
    <w:rsid w:val="00D11D40"/>
    <w:rsid w:val="00D12019"/>
    <w:rsid w:val="00D135B6"/>
    <w:rsid w:val="00D1478E"/>
    <w:rsid w:val="00D15D95"/>
    <w:rsid w:val="00D23355"/>
    <w:rsid w:val="00D24235"/>
    <w:rsid w:val="00D31222"/>
    <w:rsid w:val="00D318F1"/>
    <w:rsid w:val="00D36208"/>
    <w:rsid w:val="00D404C0"/>
    <w:rsid w:val="00D437C7"/>
    <w:rsid w:val="00D43B16"/>
    <w:rsid w:val="00D4782C"/>
    <w:rsid w:val="00D50C63"/>
    <w:rsid w:val="00D60F42"/>
    <w:rsid w:val="00D61653"/>
    <w:rsid w:val="00D63357"/>
    <w:rsid w:val="00D63C2A"/>
    <w:rsid w:val="00D649B9"/>
    <w:rsid w:val="00D65DAC"/>
    <w:rsid w:val="00D67723"/>
    <w:rsid w:val="00D67D61"/>
    <w:rsid w:val="00D70123"/>
    <w:rsid w:val="00D73D18"/>
    <w:rsid w:val="00D8413D"/>
    <w:rsid w:val="00D84420"/>
    <w:rsid w:val="00D93987"/>
    <w:rsid w:val="00D943B3"/>
    <w:rsid w:val="00D94C21"/>
    <w:rsid w:val="00DA7705"/>
    <w:rsid w:val="00DB4A02"/>
    <w:rsid w:val="00DC1AD2"/>
    <w:rsid w:val="00DC2942"/>
    <w:rsid w:val="00DC31B8"/>
    <w:rsid w:val="00DC32DD"/>
    <w:rsid w:val="00DC3CC2"/>
    <w:rsid w:val="00DC5B37"/>
    <w:rsid w:val="00DC5BDE"/>
    <w:rsid w:val="00DC6EDB"/>
    <w:rsid w:val="00DD0608"/>
    <w:rsid w:val="00DD159B"/>
    <w:rsid w:val="00DD2F64"/>
    <w:rsid w:val="00DE1C56"/>
    <w:rsid w:val="00DE4D22"/>
    <w:rsid w:val="00DE7709"/>
    <w:rsid w:val="00DF1C31"/>
    <w:rsid w:val="00DF481C"/>
    <w:rsid w:val="00E00F8E"/>
    <w:rsid w:val="00E01CEF"/>
    <w:rsid w:val="00E0308D"/>
    <w:rsid w:val="00E03BC6"/>
    <w:rsid w:val="00E03C3F"/>
    <w:rsid w:val="00E05B95"/>
    <w:rsid w:val="00E079CE"/>
    <w:rsid w:val="00E14D2A"/>
    <w:rsid w:val="00E16219"/>
    <w:rsid w:val="00E209EC"/>
    <w:rsid w:val="00E226BF"/>
    <w:rsid w:val="00E24D1B"/>
    <w:rsid w:val="00E2544C"/>
    <w:rsid w:val="00E26767"/>
    <w:rsid w:val="00E326F8"/>
    <w:rsid w:val="00E32FCE"/>
    <w:rsid w:val="00E34FD9"/>
    <w:rsid w:val="00E357CC"/>
    <w:rsid w:val="00E37271"/>
    <w:rsid w:val="00E40BFD"/>
    <w:rsid w:val="00E41E14"/>
    <w:rsid w:val="00E42D01"/>
    <w:rsid w:val="00E50F03"/>
    <w:rsid w:val="00E54589"/>
    <w:rsid w:val="00E64126"/>
    <w:rsid w:val="00E7029B"/>
    <w:rsid w:val="00E707EC"/>
    <w:rsid w:val="00E713A6"/>
    <w:rsid w:val="00E76D6B"/>
    <w:rsid w:val="00E77809"/>
    <w:rsid w:val="00E77C1C"/>
    <w:rsid w:val="00E8323A"/>
    <w:rsid w:val="00E83924"/>
    <w:rsid w:val="00E86FAD"/>
    <w:rsid w:val="00E90A84"/>
    <w:rsid w:val="00E92717"/>
    <w:rsid w:val="00E94776"/>
    <w:rsid w:val="00EA24AC"/>
    <w:rsid w:val="00EA2AA4"/>
    <w:rsid w:val="00EA2CBF"/>
    <w:rsid w:val="00EA3843"/>
    <w:rsid w:val="00EA4474"/>
    <w:rsid w:val="00EB19C9"/>
    <w:rsid w:val="00EB2CEB"/>
    <w:rsid w:val="00EB30C2"/>
    <w:rsid w:val="00EB51D9"/>
    <w:rsid w:val="00EB57F8"/>
    <w:rsid w:val="00EB6332"/>
    <w:rsid w:val="00EB7250"/>
    <w:rsid w:val="00EC0CC0"/>
    <w:rsid w:val="00EC37E2"/>
    <w:rsid w:val="00EC6A04"/>
    <w:rsid w:val="00ED4354"/>
    <w:rsid w:val="00ED7112"/>
    <w:rsid w:val="00EE02B0"/>
    <w:rsid w:val="00EE04C0"/>
    <w:rsid w:val="00EE20D8"/>
    <w:rsid w:val="00EE21DE"/>
    <w:rsid w:val="00EE3923"/>
    <w:rsid w:val="00EF25E4"/>
    <w:rsid w:val="00F02546"/>
    <w:rsid w:val="00F0267F"/>
    <w:rsid w:val="00F042A9"/>
    <w:rsid w:val="00F04691"/>
    <w:rsid w:val="00F062AB"/>
    <w:rsid w:val="00F0635A"/>
    <w:rsid w:val="00F10A1C"/>
    <w:rsid w:val="00F114FF"/>
    <w:rsid w:val="00F1468B"/>
    <w:rsid w:val="00F155A9"/>
    <w:rsid w:val="00F219CC"/>
    <w:rsid w:val="00F2258B"/>
    <w:rsid w:val="00F25C18"/>
    <w:rsid w:val="00F2604A"/>
    <w:rsid w:val="00F2627D"/>
    <w:rsid w:val="00F27269"/>
    <w:rsid w:val="00F30662"/>
    <w:rsid w:val="00F339A7"/>
    <w:rsid w:val="00F42DE3"/>
    <w:rsid w:val="00F437D4"/>
    <w:rsid w:val="00F45BC2"/>
    <w:rsid w:val="00F46346"/>
    <w:rsid w:val="00F517D6"/>
    <w:rsid w:val="00F54620"/>
    <w:rsid w:val="00F55443"/>
    <w:rsid w:val="00F56AE9"/>
    <w:rsid w:val="00F57AB5"/>
    <w:rsid w:val="00F604A3"/>
    <w:rsid w:val="00F6351F"/>
    <w:rsid w:val="00F65088"/>
    <w:rsid w:val="00F652B3"/>
    <w:rsid w:val="00F66BA3"/>
    <w:rsid w:val="00F70390"/>
    <w:rsid w:val="00F70C7E"/>
    <w:rsid w:val="00F717B7"/>
    <w:rsid w:val="00F741EE"/>
    <w:rsid w:val="00F76D26"/>
    <w:rsid w:val="00F77210"/>
    <w:rsid w:val="00F81D1A"/>
    <w:rsid w:val="00F87572"/>
    <w:rsid w:val="00F93B18"/>
    <w:rsid w:val="00FA0E65"/>
    <w:rsid w:val="00FB036C"/>
    <w:rsid w:val="00FB5F38"/>
    <w:rsid w:val="00FB6B57"/>
    <w:rsid w:val="00FC0248"/>
    <w:rsid w:val="00FC2B2E"/>
    <w:rsid w:val="00FC3814"/>
    <w:rsid w:val="00FC500C"/>
    <w:rsid w:val="00FD15FC"/>
    <w:rsid w:val="00FD1B4C"/>
    <w:rsid w:val="00FD60E4"/>
    <w:rsid w:val="00FD679B"/>
    <w:rsid w:val="00FD6F36"/>
    <w:rsid w:val="00FE324D"/>
    <w:rsid w:val="00FE3E83"/>
    <w:rsid w:val="00FF43A8"/>
    <w:rsid w:val="00FF4504"/>
    <w:rsid w:val="00FF67AD"/>
    <w:rsid w:val="00FF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CB1572-F080-4B13-BD3A-B5D5E19F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92717"/>
    <w:pPr>
      <w:widowControl w:val="0"/>
      <w:jc w:val="both"/>
    </w:pPr>
    <w:rPr>
      <w:szCs w:val="24"/>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val="en-GB" w:eastAsia="ja-JP"/>
    </w:rPr>
  </w:style>
  <w:style w:type="paragraph" w:styleId="Heading5">
    <w:name w:val="heading 5"/>
    <w:basedOn w:val="Normal"/>
    <w:link w:val="Heading5Char"/>
    <w:qFormat/>
    <w:rsid w:val="0048309C"/>
    <w:pPr>
      <w:widowControl/>
      <w:spacing w:before="100" w:beforeAutospacing="1" w:after="100" w:afterAutospacing="1"/>
      <w:jc w:val="left"/>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jc w:val="left"/>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Persen,Ventura-Header"/>
    <w:basedOn w:val="Normal"/>
    <w:link w:val="HeaderChar"/>
    <w:uiPriority w:val="99"/>
    <w:rsid w:val="00BD53F9"/>
    <w:pPr>
      <w:tabs>
        <w:tab w:val="right" w:pos="8789"/>
      </w:tabs>
    </w:pPr>
    <w:rPr>
      <w:rFonts w:ascii="Book Antiqua" w:hAnsi="Book Antiqua"/>
    </w:rPr>
  </w:style>
  <w:style w:type="character" w:customStyle="1" w:styleId="HeaderChar">
    <w:name w:val="Header Char"/>
    <w:aliases w:val="Persen Char,Ventura-Header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locked/>
    <w:rsid w:val="00117232"/>
    <w:rPr>
      <w:lang w:val="en-US" w:eastAsia="en-US" w:bidi="ar-SA"/>
    </w:rPr>
  </w:style>
  <w:style w:type="paragraph" w:styleId="CommentText">
    <w:name w:val="annotation text"/>
    <w:basedOn w:val="Normal"/>
    <w:link w:val="CommentTextChar"/>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4A4EB6"/>
    <w:rPr>
      <w:b/>
      <w:bCs/>
      <w:sz w:val="24"/>
      <w:szCs w:val="24"/>
      <w:lang w:val="en-US" w:eastAsia="en-US" w:bidi="ar-SA"/>
    </w:rPr>
  </w:style>
  <w:style w:type="paragraph" w:styleId="Title">
    <w:name w:val="Title"/>
    <w:basedOn w:val="Normal"/>
    <w:link w:val="TitleChar"/>
    <w:qFormat/>
    <w:rsid w:val="004A4EB6"/>
    <w:pPr>
      <w:widowControl/>
      <w:jc w:val="center"/>
    </w:pPr>
    <w:rPr>
      <w:b/>
      <w:bCs/>
      <w:sz w:val="24"/>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jc w:val="left"/>
    </w:pPr>
    <w:rPr>
      <w:sz w:val="24"/>
    </w:r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59"/>
    <w:rsid w:val="005C37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jc w:val="left"/>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lang w:val="id-ID"/>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jc w:val="left"/>
    </w:pPr>
    <w:rPr>
      <w:rFonts w:ascii="Arial" w:eastAsia="Lucida Sans Unicode" w:hAnsi="Arial" w:cs="Tahoma"/>
      <w:sz w:val="28"/>
      <w:szCs w:val="28"/>
      <w:lang w:eastAsia="ar-SA"/>
    </w:rPr>
  </w:style>
  <w:style w:type="paragraph" w:styleId="List">
    <w:name w:val="List"/>
    <w:basedOn w:val="BodyText"/>
    <w:rsid w:val="00F55443"/>
    <w:pPr>
      <w:widowControl/>
      <w:suppressAutoHyphens/>
      <w:jc w:val="left"/>
    </w:pPr>
    <w:rPr>
      <w:rFonts w:cs="Tahoma"/>
      <w:sz w:val="24"/>
      <w:lang w:eastAsia="ar-SA"/>
    </w:rPr>
  </w:style>
  <w:style w:type="paragraph" w:styleId="Caption">
    <w:name w:val="caption"/>
    <w:basedOn w:val="Normal"/>
    <w:qFormat/>
    <w:rsid w:val="00F55443"/>
    <w:pPr>
      <w:widowControl/>
      <w:suppressLineNumbers/>
      <w:suppressAutoHyphens/>
      <w:spacing w:before="120" w:after="120"/>
      <w:jc w:val="left"/>
    </w:pPr>
    <w:rPr>
      <w:rFonts w:cs="Tahoma"/>
      <w:i/>
      <w:iCs/>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jc w:val="left"/>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id-ID"/>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 w:type="character" w:customStyle="1" w:styleId="tlid-translation">
    <w:name w:val="tlid-translation"/>
    <w:rsid w:val="007C57B2"/>
  </w:style>
  <w:style w:type="paragraph" w:customStyle="1" w:styleId="EndNoteBibliographyTitle">
    <w:name w:val="EndNote Bibliography Title"/>
    <w:basedOn w:val="Normal"/>
    <w:link w:val="EndNoteBibliographyTitleChar"/>
    <w:autoRedefine/>
    <w:rsid w:val="00982C26"/>
    <w:pPr>
      <w:jc w:val="center"/>
    </w:pPr>
    <w:rPr>
      <w:rFonts w:ascii="Book Antiqua" w:hAnsi="Book Antiqua"/>
      <w:noProof/>
    </w:rPr>
  </w:style>
  <w:style w:type="character" w:customStyle="1" w:styleId="EndNoteBibliographyTitleChar">
    <w:name w:val="EndNote Bibliography Title Char"/>
    <w:basedOn w:val="Ventura-ContentChar"/>
    <w:link w:val="EndNoteBibliographyTitle"/>
    <w:rsid w:val="00982C26"/>
    <w:rPr>
      <w:rFonts w:ascii="Book Antiqua" w:hAnsi="Book Antiqua"/>
      <w:noProof/>
      <w:szCs w:val="24"/>
      <w:lang w:val="en-US" w:eastAsia="en-US" w:bidi="ar-SA"/>
    </w:rPr>
  </w:style>
  <w:style w:type="paragraph" w:customStyle="1" w:styleId="EndNoteBibliography">
    <w:name w:val="EndNote Bibliography"/>
    <w:basedOn w:val="Normal"/>
    <w:link w:val="EndNoteBibliographyChar"/>
    <w:autoRedefine/>
    <w:rsid w:val="00896B39"/>
    <w:pPr>
      <w:ind w:left="720" w:hanging="720"/>
    </w:pPr>
    <w:rPr>
      <w:rFonts w:ascii="Book Antiqua" w:hAnsi="Book Antiqua"/>
      <w:b/>
      <w:noProof/>
    </w:rPr>
  </w:style>
  <w:style w:type="character" w:customStyle="1" w:styleId="EndNoteBibliographyChar">
    <w:name w:val="EndNote Bibliography Char"/>
    <w:basedOn w:val="Ventura-ContentChar"/>
    <w:link w:val="EndNoteBibliography"/>
    <w:rsid w:val="00896B39"/>
    <w:rPr>
      <w:rFonts w:ascii="Book Antiqua" w:hAnsi="Book Antiqua"/>
      <w:b/>
      <w:noProof/>
      <w:szCs w:val="24"/>
      <w:lang w:val="en-US" w:eastAsia="en-US" w:bidi="ar-SA"/>
    </w:rPr>
  </w:style>
  <w:style w:type="character" w:customStyle="1" w:styleId="viiyi">
    <w:name w:val="viiyi"/>
    <w:basedOn w:val="DefaultParagraphFont"/>
    <w:rsid w:val="00585FB7"/>
  </w:style>
  <w:style w:type="character" w:customStyle="1" w:styleId="jlqj4b">
    <w:name w:val="jlqj4b"/>
    <w:basedOn w:val="DefaultParagraphFont"/>
    <w:rsid w:val="00585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read.oecd-ilibrary.org/view/?ref=119_119680-di6h3qgi4x&amp;title=COVID-19_SME_Policy_Respons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x.doi.org/10.14414/jebav.v23i2.2285" TargetMode="External"/><Relationship Id="rId12" Type="http://schemas.openxmlformats.org/officeDocument/2006/relationships/header" Target="header3.xml"/><Relationship Id="rId17" Type="http://schemas.openxmlformats.org/officeDocument/2006/relationships/hyperlink" Target="https://www.kemenkeu.go.id/media/14243/apbn-kita-januari-2020.pdf" TargetMode="External"/><Relationship Id="rId2" Type="http://schemas.openxmlformats.org/officeDocument/2006/relationships/styles" Target="styles.xml"/><Relationship Id="rId16" Type="http://schemas.openxmlformats.org/officeDocument/2006/relationships/hyperlink" Target="https://www.idx.co.i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sunitha.devi@undiksha.ac.id"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unitha.devi@undiksha.ac.i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Jurnal Ventura Versi 2.0</Template>
  <TotalTime>95</TotalTime>
  <Pages>17</Pages>
  <Words>10324</Words>
  <Characters>58852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Person of ITS-UA</Company>
  <LinksUpToDate>false</LinksUpToDate>
  <CharactersWithSpaces>69038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creator>Student ITS-UA</dc:creator>
  <cp:lastModifiedBy>no name</cp:lastModifiedBy>
  <cp:revision>8</cp:revision>
  <cp:lastPrinted>2015-05-19T15:15:00Z</cp:lastPrinted>
  <dcterms:created xsi:type="dcterms:W3CDTF">2020-12-04T06:31:00Z</dcterms:created>
  <dcterms:modified xsi:type="dcterms:W3CDTF">2020-12-07T07:31:00Z</dcterms:modified>
</cp:coreProperties>
</file>